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95D9" w14:textId="60FFFD21" w:rsidR="0034059F" w:rsidRPr="00B5082D" w:rsidRDefault="0034059F" w:rsidP="007B7D18">
      <w:pPr>
        <w:spacing w:after="120" w:line="240" w:lineRule="auto"/>
        <w:rPr>
          <w:rFonts w:ascii="Trebuchet MS" w:hAnsi="Trebuchet MS"/>
          <w:b/>
          <w:bCs/>
          <w:color w:val="1F3864" w:themeColor="accent1" w:themeShade="80"/>
          <w:sz w:val="28"/>
          <w:szCs w:val="28"/>
        </w:rPr>
      </w:pPr>
      <w:r w:rsidRPr="00B5082D">
        <w:rPr>
          <w:rFonts w:ascii="Trebuchet MS" w:hAnsi="Trebuchet MS"/>
          <w:b/>
          <w:bCs/>
          <w:color w:val="1F3864" w:themeColor="accent1" w:themeShade="80"/>
          <w:sz w:val="28"/>
          <w:szCs w:val="28"/>
        </w:rPr>
        <w:t>JAHARP2021-04 – Scissor lifts</w:t>
      </w:r>
    </w:p>
    <w:p w14:paraId="5216A6FF" w14:textId="40556DCA" w:rsidR="009A6735" w:rsidRPr="00B5082D" w:rsidRDefault="007B7D18" w:rsidP="007B7D18">
      <w:pPr>
        <w:spacing w:after="120" w:line="240" w:lineRule="auto"/>
        <w:rPr>
          <w:rFonts w:ascii="Trebuchet MS" w:hAnsi="Trebuchet MS"/>
          <w:b/>
          <w:bCs/>
          <w:color w:val="1F3864" w:themeColor="accent1" w:themeShade="80"/>
          <w:sz w:val="32"/>
          <w:szCs w:val="32"/>
        </w:rPr>
      </w:pPr>
      <w:r w:rsidRPr="00B5082D">
        <w:rPr>
          <w:rFonts w:ascii="Trebuchet MS" w:hAnsi="Trebuchet MS"/>
          <w:b/>
          <w:bCs/>
          <w:color w:val="1F3864" w:themeColor="accent1" w:themeShade="80"/>
          <w:sz w:val="32"/>
          <w:szCs w:val="32"/>
        </w:rPr>
        <w:t xml:space="preserve">Appendix 3 - </w:t>
      </w:r>
      <w:r w:rsidR="005729B0" w:rsidRPr="00B5082D">
        <w:rPr>
          <w:rFonts w:ascii="Trebuchet MS" w:hAnsi="Trebuchet MS"/>
          <w:b/>
          <w:bCs/>
          <w:color w:val="1F3864" w:themeColor="accent1" w:themeShade="80"/>
          <w:sz w:val="32"/>
          <w:szCs w:val="32"/>
        </w:rPr>
        <w:t>Indicative inspection and test programme</w:t>
      </w:r>
      <w:r w:rsidR="00E759C5" w:rsidRPr="00B5082D">
        <w:rPr>
          <w:rFonts w:ascii="Trebuchet MS" w:hAnsi="Trebuchet MS"/>
          <w:b/>
          <w:bCs/>
          <w:color w:val="1F3864" w:themeColor="accent1" w:themeShade="80"/>
          <w:sz w:val="32"/>
          <w:szCs w:val="32"/>
        </w:rPr>
        <w:t xml:space="preserve"> and financial offer</w:t>
      </w:r>
      <w:r w:rsidR="00BA69FF">
        <w:rPr>
          <w:rFonts w:ascii="Trebuchet MS" w:hAnsi="Trebuchet MS"/>
          <w:b/>
          <w:bCs/>
          <w:color w:val="1F3864" w:themeColor="accent1" w:themeShade="80"/>
          <w:sz w:val="32"/>
          <w:szCs w:val="32"/>
        </w:rPr>
        <w:t xml:space="preserve"> – Version 2 (17.02.2023)</w:t>
      </w:r>
    </w:p>
    <w:p w14:paraId="77B254C3" w14:textId="77FAB2DD" w:rsidR="00D62BB4" w:rsidRPr="007B4B61" w:rsidRDefault="007B4B61" w:rsidP="00B5082D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7B4B61">
        <w:rPr>
          <w:rFonts w:ascii="Trebuchet MS" w:hAnsi="Trebuchet MS"/>
          <w:sz w:val="20"/>
          <w:szCs w:val="20"/>
        </w:rPr>
        <w:t>NOTE :</w:t>
      </w:r>
      <w:proofErr w:type="gramEnd"/>
      <w:r w:rsidRPr="007B4B61">
        <w:rPr>
          <w:rFonts w:ascii="Trebuchet MS" w:hAnsi="Trebuchet MS"/>
          <w:sz w:val="20"/>
          <w:szCs w:val="20"/>
        </w:rPr>
        <w:t xml:space="preserve"> this programme is based on standard EN 280:2013 + A1:2015</w:t>
      </w:r>
      <w:r w:rsidR="007B7D18">
        <w:rPr>
          <w:rFonts w:ascii="Trebuchet MS" w:hAnsi="Trebuchet MS"/>
          <w:sz w:val="20"/>
          <w:szCs w:val="20"/>
        </w:rPr>
        <w:t>,</w:t>
      </w:r>
      <w:r w:rsidRPr="007B4B61">
        <w:rPr>
          <w:rFonts w:ascii="Trebuchet MS" w:hAnsi="Trebuchet MS"/>
          <w:sz w:val="20"/>
          <w:szCs w:val="20"/>
        </w:rPr>
        <w:t xml:space="preserve"> which is the standard currently conferring presumption of conformity with the essential </w:t>
      </w:r>
      <w:r w:rsidR="007B7D18">
        <w:rPr>
          <w:rFonts w:ascii="Trebuchet MS" w:hAnsi="Trebuchet MS"/>
          <w:sz w:val="20"/>
          <w:szCs w:val="20"/>
        </w:rPr>
        <w:t xml:space="preserve">health and safety </w:t>
      </w:r>
      <w:r w:rsidRPr="007B4B61">
        <w:rPr>
          <w:rFonts w:ascii="Trebuchet MS" w:hAnsi="Trebuchet MS"/>
          <w:sz w:val="20"/>
          <w:szCs w:val="20"/>
        </w:rPr>
        <w:t xml:space="preserve">requirements of Annex I </w:t>
      </w:r>
      <w:r w:rsidR="007B7D18">
        <w:rPr>
          <w:rFonts w:ascii="Trebuchet MS" w:hAnsi="Trebuchet MS"/>
          <w:sz w:val="20"/>
          <w:szCs w:val="20"/>
        </w:rPr>
        <w:t>to</w:t>
      </w:r>
      <w:r w:rsidRPr="007B4B61">
        <w:rPr>
          <w:rFonts w:ascii="Trebuchet MS" w:hAnsi="Trebuchet MS"/>
          <w:sz w:val="20"/>
          <w:szCs w:val="20"/>
        </w:rPr>
        <w:t xml:space="preserve"> the Machinery Directive. This standard has now been replaced by EN 280-1:2020,</w:t>
      </w:r>
      <w:r w:rsidR="007B7D18">
        <w:rPr>
          <w:rFonts w:ascii="Trebuchet MS" w:hAnsi="Trebuchet MS"/>
          <w:sz w:val="20"/>
          <w:szCs w:val="20"/>
        </w:rPr>
        <w:t xml:space="preserve"> the reference of which has not yet been published in the OJEU. I</w:t>
      </w:r>
      <w:r w:rsidRPr="007B4B61">
        <w:rPr>
          <w:rFonts w:ascii="Trebuchet MS" w:hAnsi="Trebuchet MS"/>
          <w:sz w:val="20"/>
          <w:szCs w:val="20"/>
        </w:rPr>
        <w:t xml:space="preserve">t is expected that the machinery inspected in 2023 will have been designed </w:t>
      </w:r>
      <w:r w:rsidR="007B7D18">
        <w:rPr>
          <w:rFonts w:ascii="Trebuchet MS" w:hAnsi="Trebuchet MS"/>
          <w:sz w:val="20"/>
          <w:szCs w:val="20"/>
        </w:rPr>
        <w:t xml:space="preserve">according </w:t>
      </w:r>
      <w:r w:rsidRPr="007B4B61">
        <w:rPr>
          <w:rFonts w:ascii="Trebuchet MS" w:hAnsi="Trebuchet MS"/>
          <w:sz w:val="20"/>
          <w:szCs w:val="20"/>
        </w:rPr>
        <w:t>to the current standard.</w:t>
      </w:r>
    </w:p>
    <w:tbl>
      <w:tblPr>
        <w:tblStyle w:val="TableGrid"/>
        <w:tblW w:w="4860" w:type="pct"/>
        <w:tblLook w:val="04A0" w:firstRow="1" w:lastRow="0" w:firstColumn="1" w:lastColumn="0" w:noHBand="0" w:noVBand="1"/>
      </w:tblPr>
      <w:tblGrid>
        <w:gridCol w:w="440"/>
        <w:gridCol w:w="4452"/>
        <w:gridCol w:w="445"/>
        <w:gridCol w:w="6225"/>
        <w:gridCol w:w="2624"/>
      </w:tblGrid>
      <w:tr w:rsidR="00E759C5" w:rsidRPr="00155412" w14:paraId="5C0670CB" w14:textId="77777777" w:rsidTr="00E759C5">
        <w:tc>
          <w:tcPr>
            <w:tcW w:w="155" w:type="pct"/>
            <w:shd w:val="clear" w:color="auto" w:fill="DEEAF6" w:themeFill="accent5" w:themeFillTint="33"/>
          </w:tcPr>
          <w:p w14:paraId="167C8D13" w14:textId="77777777" w:rsidR="00E759C5" w:rsidRDefault="00E759C5" w:rsidP="007B4B61">
            <w:pPr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156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EF3E83E" w14:textId="64F4866B" w:rsidR="00E759C5" w:rsidRPr="007B4B61" w:rsidRDefault="00E759C5" w:rsidP="007B4B61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7B4B61">
              <w:rPr>
                <w:rFonts w:ascii="Trebuchet MS" w:hAnsi="Trebuchet MS"/>
                <w:sz w:val="20"/>
                <w:szCs w:val="20"/>
              </w:rPr>
              <w:t>Checks to be carried out for Lots A and B</w:t>
            </w:r>
          </w:p>
        </w:tc>
        <w:tc>
          <w:tcPr>
            <w:tcW w:w="157" w:type="pct"/>
            <w:shd w:val="clear" w:color="auto" w:fill="FBE4D5" w:themeFill="accent2" w:themeFillTint="33"/>
          </w:tcPr>
          <w:p w14:paraId="790EA356" w14:textId="4C067644" w:rsidR="00E759C5" w:rsidRDefault="00E759C5" w:rsidP="007B4B61">
            <w:pPr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2194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19D1726" w14:textId="2B933B44" w:rsidR="00E759C5" w:rsidRPr="007B4B61" w:rsidRDefault="00E759C5" w:rsidP="007B4B61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Additional c</w:t>
            </w:r>
            <w:r w:rsidRPr="007B4B61">
              <w:rPr>
                <w:rFonts w:ascii="Trebuchet MS" w:hAnsi="Trebuchet MS"/>
                <w:sz w:val="20"/>
                <w:szCs w:val="20"/>
              </w:rPr>
              <w:t>hecks to be carried out for Lot B only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AB2710" w14:textId="4A555FB1" w:rsidR="00E759C5" w:rsidRPr="007B4B61" w:rsidRDefault="00E759C5" w:rsidP="007B4B61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E220FBB" w14:textId="77777777" w:rsidR="00D62BB4" w:rsidRDefault="00D62BB4" w:rsidP="007B4B61">
      <w:pPr>
        <w:spacing w:after="0" w:line="240" w:lineRule="auto"/>
      </w:pPr>
    </w:p>
    <w:tbl>
      <w:tblPr>
        <w:tblStyle w:val="TableGrid"/>
        <w:tblW w:w="5181" w:type="pct"/>
        <w:tblBorders>
          <w:top w:val="single" w:sz="2" w:space="0" w:color="C9C9C9" w:themeColor="accent3" w:themeTint="99"/>
          <w:left w:val="single" w:sz="2" w:space="0" w:color="C9C9C9" w:themeColor="accent3" w:themeTint="99"/>
          <w:bottom w:val="single" w:sz="2" w:space="0" w:color="C9C9C9" w:themeColor="accent3" w:themeTint="99"/>
          <w:right w:val="single" w:sz="2" w:space="0" w:color="C9C9C9" w:themeColor="accent3" w:themeTint="99"/>
          <w:insideH w:val="single" w:sz="2" w:space="0" w:color="C9C9C9" w:themeColor="accent3" w:themeTint="99"/>
          <w:insideV w:val="single" w:sz="2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368"/>
        <w:gridCol w:w="2374"/>
        <w:gridCol w:w="10380"/>
      </w:tblGrid>
      <w:tr w:rsidR="007B4B61" w:rsidRPr="00B5082D" w14:paraId="11345336" w14:textId="77777777" w:rsidTr="00B5082D">
        <w:trPr>
          <w:cantSplit/>
          <w:tblHeader/>
        </w:trPr>
        <w:tc>
          <w:tcPr>
            <w:tcW w:w="783" w:type="pct"/>
          </w:tcPr>
          <w:p w14:paraId="33898491" w14:textId="3B854F4D" w:rsidR="007B4B61" w:rsidRPr="00B5082D" w:rsidRDefault="007B4B61" w:rsidP="00DD4CE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5082D">
              <w:rPr>
                <w:rFonts w:ascii="Trebuchet MS" w:hAnsi="Trebuchet MS"/>
                <w:b/>
                <w:bCs/>
                <w:sz w:val="20"/>
                <w:szCs w:val="20"/>
              </w:rPr>
              <w:t>EHSR of Annex I</w:t>
            </w:r>
          </w:p>
        </w:tc>
        <w:tc>
          <w:tcPr>
            <w:tcW w:w="785" w:type="pct"/>
          </w:tcPr>
          <w:p w14:paraId="3DAF721D" w14:textId="4AE29BFF" w:rsidR="007B4B61" w:rsidRPr="00B5082D" w:rsidRDefault="007B4B61" w:rsidP="00DD4CE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5082D">
              <w:rPr>
                <w:rFonts w:ascii="Trebuchet MS" w:hAnsi="Trebuchet MS"/>
                <w:b/>
                <w:bCs/>
                <w:sz w:val="20"/>
                <w:szCs w:val="20"/>
              </w:rPr>
              <w:t>Clauses of EN 280</w:t>
            </w:r>
          </w:p>
        </w:tc>
        <w:tc>
          <w:tcPr>
            <w:tcW w:w="3432" w:type="pct"/>
          </w:tcPr>
          <w:p w14:paraId="0EB9884C" w14:textId="245EF754" w:rsidR="007B4B61" w:rsidRPr="00B5082D" w:rsidRDefault="007B4B61" w:rsidP="00DD4CE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5082D">
              <w:rPr>
                <w:rFonts w:ascii="Trebuchet MS" w:hAnsi="Trebuchet MS"/>
                <w:b/>
                <w:bCs/>
                <w:sz w:val="20"/>
                <w:szCs w:val="20"/>
              </w:rPr>
              <w:t>Aspect to be checked</w:t>
            </w:r>
          </w:p>
        </w:tc>
      </w:tr>
      <w:tr w:rsidR="007B4B61" w:rsidRPr="00B5082D" w14:paraId="1C901A8E" w14:textId="77777777" w:rsidTr="00B5082D">
        <w:tc>
          <w:tcPr>
            <w:tcW w:w="783" w:type="pct"/>
            <w:shd w:val="clear" w:color="auto" w:fill="DEEAF6" w:themeFill="accent5" w:themeFillTint="33"/>
          </w:tcPr>
          <w:p w14:paraId="686A0B7E" w14:textId="77777777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DEEAF6" w:themeFill="accent5" w:themeFillTint="33"/>
          </w:tcPr>
          <w:p w14:paraId="4747D656" w14:textId="7315771B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1.4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29F67ADC" w14:textId="15FE8A39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Identify Group (A or B) and Type (1, 2, or 3)</w:t>
            </w:r>
          </w:p>
        </w:tc>
      </w:tr>
      <w:tr w:rsidR="007B4B61" w:rsidRPr="00B5082D" w14:paraId="51964169" w14:textId="77777777" w:rsidTr="00B5082D">
        <w:tc>
          <w:tcPr>
            <w:tcW w:w="783" w:type="pct"/>
            <w:shd w:val="clear" w:color="auto" w:fill="DEEAF6" w:themeFill="accent5" w:themeFillTint="33"/>
          </w:tcPr>
          <w:p w14:paraId="29AEF4FF" w14:textId="31902FEF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1.3.1, 3.3.2, 4.1.2.1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37F9AF88" w14:textId="0D2A8682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5.3.1.1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00CFC688" w14:textId="42ACDADD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(For type 1 MEWPs) device to prevent travel when the work platform is outside the transport configuration</w:t>
            </w:r>
          </w:p>
        </w:tc>
      </w:tr>
      <w:tr w:rsidR="007B4B61" w:rsidRPr="00B5082D" w14:paraId="55CA00F6" w14:textId="77777777" w:rsidTr="00B5082D">
        <w:tc>
          <w:tcPr>
            <w:tcW w:w="783" w:type="pct"/>
            <w:shd w:val="clear" w:color="auto" w:fill="DEEAF6" w:themeFill="accent5" w:themeFillTint="33"/>
          </w:tcPr>
          <w:p w14:paraId="5F57777A" w14:textId="4DA87BF7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1.2.1, 6.3.1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398F5E82" w14:textId="27B7C20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5.3.1.9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4C297D3D" w14:textId="216155F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Automatic restriction on travel speed</w:t>
            </w:r>
          </w:p>
        </w:tc>
      </w:tr>
      <w:tr w:rsidR="007B4B61" w:rsidRPr="00B5082D" w14:paraId="64FC2E12" w14:textId="77777777" w:rsidTr="00B5082D">
        <w:tc>
          <w:tcPr>
            <w:tcW w:w="783" w:type="pct"/>
            <w:shd w:val="clear" w:color="auto" w:fill="DEEAF6" w:themeFill="accent5" w:themeFillTint="33"/>
          </w:tcPr>
          <w:p w14:paraId="4193C405" w14:textId="7DD590A2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1.2.4.1, 3.3.3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5CD3C7CF" w14:textId="4037D091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5.3.1.6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43A541CA" w14:textId="7583389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Travel brakes that engage when power is removed</w:t>
            </w:r>
          </w:p>
        </w:tc>
      </w:tr>
      <w:tr w:rsidR="007B4B61" w:rsidRPr="00B5082D" w14:paraId="063A4140" w14:textId="77777777" w:rsidTr="00B5082D">
        <w:tc>
          <w:tcPr>
            <w:tcW w:w="783" w:type="pct"/>
            <w:shd w:val="clear" w:color="auto" w:fill="DEEAF6" w:themeFill="accent5" w:themeFillTint="33"/>
          </w:tcPr>
          <w:p w14:paraId="398056E9" w14:textId="5587D6A0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1.2.4.1, 3.3.3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0B92F17A" w14:textId="295AB32B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5.3.1.10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1F469E14" w14:textId="453A83D0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Maximum braking distance</w:t>
            </w:r>
          </w:p>
        </w:tc>
      </w:tr>
      <w:tr w:rsidR="007B4B61" w:rsidRPr="00B5082D" w14:paraId="7D77D774" w14:textId="77777777" w:rsidTr="00B5082D">
        <w:tc>
          <w:tcPr>
            <w:tcW w:w="783" w:type="pct"/>
            <w:shd w:val="clear" w:color="auto" w:fill="DEEAF6" w:themeFill="accent5" w:themeFillTint="33"/>
          </w:tcPr>
          <w:p w14:paraId="03E5DDEA" w14:textId="30CEBBE6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1.7.1.2, 4.1.2.1, 6.3.2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247F0D30" w14:textId="574B3835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5.3.1.2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3929A03D" w14:textId="006FD26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Limit on inclination of chassis and visual or acoustic warning device</w:t>
            </w:r>
          </w:p>
        </w:tc>
      </w:tr>
      <w:tr w:rsidR="007B4B61" w:rsidRPr="00B5082D" w14:paraId="0897DB1F" w14:textId="77777777" w:rsidTr="00B5082D">
        <w:tc>
          <w:tcPr>
            <w:tcW w:w="783" w:type="pct"/>
            <w:shd w:val="clear" w:color="auto" w:fill="DEEAF6" w:themeFill="accent5" w:themeFillTint="33"/>
          </w:tcPr>
          <w:p w14:paraId="35D542AB" w14:textId="2BB2A6B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3.3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516B602E" w14:textId="7138AB6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5.3.1.8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1F55982F" w14:textId="7BD17BE2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Device to prevent unauthorised use</w:t>
            </w:r>
          </w:p>
        </w:tc>
      </w:tr>
      <w:tr w:rsidR="007B4B61" w:rsidRPr="00B5082D" w14:paraId="5360D257" w14:textId="77777777" w:rsidTr="00B5082D">
        <w:tc>
          <w:tcPr>
            <w:tcW w:w="783" w:type="pct"/>
            <w:shd w:val="clear" w:color="auto" w:fill="DEEAF6" w:themeFill="accent5" w:themeFillTint="33"/>
          </w:tcPr>
          <w:p w14:paraId="2B6E7585" w14:textId="28BF9DB5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4.1.2.7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479F39B8" w14:textId="07879F5B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5.3.1.15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42762FD8" w14:textId="3915225B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Duplicate control position at ground level</w:t>
            </w:r>
          </w:p>
        </w:tc>
      </w:tr>
      <w:tr w:rsidR="007B4B61" w:rsidRPr="00B5082D" w14:paraId="31131E3F" w14:textId="77777777" w:rsidTr="00B5082D">
        <w:tc>
          <w:tcPr>
            <w:tcW w:w="783" w:type="pct"/>
            <w:shd w:val="clear" w:color="auto" w:fill="DEEAF6" w:themeFill="accent5" w:themeFillTint="33"/>
          </w:tcPr>
          <w:p w14:paraId="07E4931E" w14:textId="509AA671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1.3.7, 1.3.8, 1.4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66EC9C38" w14:textId="3AE68C51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5.3.1.12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1E3204A3" w14:textId="6C8A0B2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Guarding for drive systems</w:t>
            </w:r>
          </w:p>
        </w:tc>
      </w:tr>
      <w:tr w:rsidR="007B4B61" w:rsidRPr="00B5082D" w14:paraId="074A51B8" w14:textId="77777777" w:rsidTr="00B5082D">
        <w:tc>
          <w:tcPr>
            <w:tcW w:w="783" w:type="pct"/>
            <w:shd w:val="clear" w:color="auto" w:fill="DEEAF6" w:themeFill="accent5" w:themeFillTint="33"/>
          </w:tcPr>
          <w:p w14:paraId="5DB66DB5" w14:textId="2CDFDDE7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1.1.7, 1.5.13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3A9BB13D" w14:textId="1B0F762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5.3.1.13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01EB4E00" w14:textId="282DB22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(Internal combustion engines) direction of exhaust</w:t>
            </w:r>
          </w:p>
        </w:tc>
      </w:tr>
      <w:tr w:rsidR="007B4B61" w:rsidRPr="00B5082D" w14:paraId="6D343D06" w14:textId="77777777" w:rsidTr="00B5082D">
        <w:tc>
          <w:tcPr>
            <w:tcW w:w="783" w:type="pct"/>
            <w:shd w:val="clear" w:color="auto" w:fill="DEEAF6" w:themeFill="accent5" w:themeFillTint="33"/>
          </w:tcPr>
          <w:p w14:paraId="04B87717" w14:textId="586054A6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1.5.6, 1.5.13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33BD6D7F" w14:textId="288FBA7D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5.3.1.14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051E6733" w14:textId="5CD3DA8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(Internal combustion engines) positioning of fuel filling points</w:t>
            </w:r>
          </w:p>
        </w:tc>
      </w:tr>
      <w:tr w:rsidR="007B4B61" w:rsidRPr="00B5082D" w14:paraId="22582AEB" w14:textId="77777777" w:rsidTr="00B5082D">
        <w:tc>
          <w:tcPr>
            <w:tcW w:w="783" w:type="pct"/>
            <w:shd w:val="clear" w:color="auto" w:fill="DEEAF6" w:themeFill="accent5" w:themeFillTint="33"/>
          </w:tcPr>
          <w:p w14:paraId="220D09C2" w14:textId="4B97FD68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1.5.1, 3.5.1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693C0A20" w14:textId="258F2652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5.3.1.17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3F5D65BC" w14:textId="62EB6E00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(Battery powered) design and ventilation of battery compartments</w:t>
            </w:r>
          </w:p>
        </w:tc>
      </w:tr>
      <w:tr w:rsidR="007B4B61" w:rsidRPr="00B5082D" w14:paraId="5E68AAB7" w14:textId="77777777" w:rsidTr="00B5082D">
        <w:tc>
          <w:tcPr>
            <w:tcW w:w="783" w:type="pct"/>
            <w:shd w:val="clear" w:color="auto" w:fill="DEEAF6" w:themeFill="accent5" w:themeFillTint="33"/>
          </w:tcPr>
          <w:p w14:paraId="5F5B5470" w14:textId="4A375A3B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1.5.1, 1.6.3, 3.5.1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4DC32F38" w14:textId="243C766E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5.8.4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53F74BB6" w14:textId="274C3A55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(Battery powered) means of isolation of battery</w:t>
            </w:r>
          </w:p>
        </w:tc>
      </w:tr>
      <w:tr w:rsidR="007B4B61" w:rsidRPr="00B5082D" w14:paraId="2F924FA3" w14:textId="77777777" w:rsidTr="00B5082D">
        <w:tc>
          <w:tcPr>
            <w:tcW w:w="783" w:type="pct"/>
            <w:shd w:val="clear" w:color="auto" w:fill="DEEAF6" w:themeFill="accent5" w:themeFillTint="33"/>
          </w:tcPr>
          <w:p w14:paraId="46E98B8A" w14:textId="78CA6F10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1.3.1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089B09BF" w14:textId="50CA430C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5.3.2, 7.2.13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3ED1AB58" w14:textId="71950665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Design and control of stabilisers, marking of maximum load on ground</w:t>
            </w:r>
          </w:p>
        </w:tc>
      </w:tr>
      <w:tr w:rsidR="007B4B61" w:rsidRPr="00B5082D" w14:paraId="7837EF49" w14:textId="77777777" w:rsidTr="00B5082D">
        <w:tc>
          <w:tcPr>
            <w:tcW w:w="783" w:type="pct"/>
            <w:shd w:val="clear" w:color="auto" w:fill="DEEAF6" w:themeFill="accent5" w:themeFillTint="33"/>
          </w:tcPr>
          <w:p w14:paraId="4B036DB1" w14:textId="2FEB0555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4.2.2, 6.1.2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5D93EA27" w14:textId="35E1008E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5.4.1, 5.7.9.3, 5.7.9.4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0E8AC59E" w14:textId="4FBA8BC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Load control</w:t>
            </w:r>
          </w:p>
        </w:tc>
      </w:tr>
      <w:tr w:rsidR="007B4B61" w:rsidRPr="00B5082D" w14:paraId="746BA764" w14:textId="77777777" w:rsidTr="00B5082D">
        <w:tc>
          <w:tcPr>
            <w:tcW w:w="783" w:type="pct"/>
            <w:shd w:val="clear" w:color="auto" w:fill="DEEAF6" w:themeFill="accent5" w:themeFillTint="33"/>
          </w:tcPr>
          <w:p w14:paraId="4C0D9866" w14:textId="1D521DB8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1.3.7, 1.3.8, 1.4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409C690E" w14:textId="6D7F05E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5.4.3, 7.2.15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4B771C6C" w14:textId="1D53F3C6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Protection against trapping or shearing in scissor mechanism (guarding or alternative means), warning notice</w:t>
            </w:r>
          </w:p>
        </w:tc>
      </w:tr>
      <w:tr w:rsidR="007B4B61" w:rsidRPr="00B5082D" w14:paraId="19D4A60A" w14:textId="77777777" w:rsidTr="00B5082D">
        <w:tc>
          <w:tcPr>
            <w:tcW w:w="783" w:type="pct"/>
            <w:shd w:val="clear" w:color="auto" w:fill="DEEAF6" w:themeFill="accent5" w:themeFillTint="33"/>
          </w:tcPr>
          <w:p w14:paraId="55CEE199" w14:textId="1AD6E8A5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1.6.1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7CB18577" w14:textId="187D8CB0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5.4.4, 7.2.16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415A3319" w14:textId="1D99607F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Raised work platform for servicing</w:t>
            </w:r>
          </w:p>
        </w:tc>
      </w:tr>
      <w:tr w:rsidR="007B4B61" w:rsidRPr="00B5082D" w14:paraId="54DDE6A4" w14:textId="77777777" w:rsidTr="00B5082D">
        <w:tc>
          <w:tcPr>
            <w:tcW w:w="783" w:type="pct"/>
            <w:shd w:val="clear" w:color="auto" w:fill="DEEAF6" w:themeFill="accent5" w:themeFillTint="33"/>
          </w:tcPr>
          <w:p w14:paraId="69905F29" w14:textId="50F62A97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4.1.2.6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629F9B35" w14:textId="0007E6C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5.5.1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20122F00" w14:textId="39B5869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Design of extending structure drive system</w:t>
            </w:r>
          </w:p>
        </w:tc>
      </w:tr>
      <w:tr w:rsidR="007B4B61" w:rsidRPr="00B5082D" w14:paraId="2B1C25BD" w14:textId="77777777" w:rsidTr="00B5082D">
        <w:tc>
          <w:tcPr>
            <w:tcW w:w="783" w:type="pct"/>
            <w:shd w:val="clear" w:color="auto" w:fill="DEEAF6" w:themeFill="accent5" w:themeFillTint="33"/>
          </w:tcPr>
          <w:p w14:paraId="7C6D6DF0" w14:textId="30E72F1C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4.1.2.6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0D1F87B4" w14:textId="455FB832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5.4.5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0DA5AD15" w14:textId="4D90DAB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Maximum raising and lowering speed</w:t>
            </w:r>
          </w:p>
        </w:tc>
      </w:tr>
      <w:tr w:rsidR="007B4B61" w:rsidRPr="00B5082D" w14:paraId="65C87426" w14:textId="77777777" w:rsidTr="00B5082D">
        <w:tc>
          <w:tcPr>
            <w:tcW w:w="783" w:type="pct"/>
            <w:shd w:val="clear" w:color="auto" w:fill="DEEAF6" w:themeFill="accent5" w:themeFillTint="33"/>
          </w:tcPr>
          <w:p w14:paraId="005B01C4" w14:textId="213FBBAE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4.1.2.6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3E5F78BF" w14:textId="316E7F08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5.5.1.6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6FA8083C" w14:textId="6C479B32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Braking system for drive system</w:t>
            </w:r>
          </w:p>
        </w:tc>
      </w:tr>
      <w:tr w:rsidR="007B4B61" w:rsidRPr="00B5082D" w14:paraId="17F45664" w14:textId="77777777" w:rsidTr="00B5082D">
        <w:tc>
          <w:tcPr>
            <w:tcW w:w="783" w:type="pct"/>
            <w:shd w:val="clear" w:color="auto" w:fill="DEEAF6" w:themeFill="accent5" w:themeFillTint="33"/>
          </w:tcPr>
          <w:p w14:paraId="74003219" w14:textId="3DD5C54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6.3.2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468EE131" w14:textId="39BE998D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5.6.2, 5.6.5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7261F53B" w14:textId="23212FF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Protection against falls from a height</w:t>
            </w:r>
          </w:p>
        </w:tc>
      </w:tr>
      <w:tr w:rsidR="007B4B61" w:rsidRPr="00B5082D" w14:paraId="718C4A79" w14:textId="77777777" w:rsidTr="00B5082D">
        <w:tc>
          <w:tcPr>
            <w:tcW w:w="783" w:type="pct"/>
            <w:shd w:val="clear" w:color="auto" w:fill="DEEAF6" w:themeFill="accent5" w:themeFillTint="33"/>
          </w:tcPr>
          <w:p w14:paraId="45A42833" w14:textId="2C1CB542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1.6.2, 6.3.2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45A6F655" w14:textId="43E918C7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5.6.3, 5.6.5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3144F17F" w14:textId="09ABF9BF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Means of access to work platform</w:t>
            </w:r>
          </w:p>
        </w:tc>
      </w:tr>
      <w:tr w:rsidR="007B4B61" w:rsidRPr="00B5082D" w14:paraId="511499C0" w14:textId="77777777" w:rsidTr="00B5082D">
        <w:tc>
          <w:tcPr>
            <w:tcW w:w="783" w:type="pct"/>
            <w:shd w:val="clear" w:color="auto" w:fill="DEEAF6" w:themeFill="accent5" w:themeFillTint="33"/>
          </w:tcPr>
          <w:p w14:paraId="31863260" w14:textId="12DF2ED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1.5.15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04475B7B" w14:textId="67988D62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5.6.4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408D1F8D" w14:textId="261A6B0D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Floor of work platform</w:t>
            </w:r>
          </w:p>
        </w:tc>
      </w:tr>
      <w:tr w:rsidR="007B4B61" w:rsidRPr="00B5082D" w14:paraId="50DD15ED" w14:textId="77777777" w:rsidTr="00B5082D">
        <w:tc>
          <w:tcPr>
            <w:tcW w:w="783" w:type="pct"/>
            <w:shd w:val="clear" w:color="auto" w:fill="DEEAF6" w:themeFill="accent5" w:themeFillTint="33"/>
          </w:tcPr>
          <w:p w14:paraId="33BD3D84" w14:textId="28EA27AD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3.4.5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7DEDC817" w14:textId="5F39C7E0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5.6.6, 5.6.7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26222413" w14:textId="439DAD1F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Access to work platform</w:t>
            </w:r>
          </w:p>
        </w:tc>
      </w:tr>
      <w:tr w:rsidR="007B4B61" w:rsidRPr="00B5082D" w14:paraId="1F722273" w14:textId="77777777" w:rsidTr="00B5082D">
        <w:tc>
          <w:tcPr>
            <w:tcW w:w="783" w:type="pct"/>
            <w:shd w:val="clear" w:color="auto" w:fill="DEEAF6" w:themeFill="accent5" w:themeFillTint="33"/>
          </w:tcPr>
          <w:p w14:paraId="51139CEC" w14:textId="365226D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4.3.3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7877DDE0" w14:textId="1119727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7.2.4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2987D9E8" w14:textId="78A8DC3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Marking of rated load for platform extension</w:t>
            </w:r>
          </w:p>
        </w:tc>
      </w:tr>
      <w:tr w:rsidR="007B4B61" w:rsidRPr="00B5082D" w14:paraId="409E75E1" w14:textId="77777777" w:rsidTr="00B5082D">
        <w:tc>
          <w:tcPr>
            <w:tcW w:w="783" w:type="pct"/>
            <w:shd w:val="clear" w:color="auto" w:fill="DEEAF6" w:themeFill="accent5" w:themeFillTint="33"/>
          </w:tcPr>
          <w:p w14:paraId="48735307" w14:textId="52C108E6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6.3.2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0B451939" w14:textId="316A7828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5.6.14, 7.2.3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74E565D6" w14:textId="4B1D4DCB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Anchorage points for PPE – number, position, strength, marking</w:t>
            </w:r>
          </w:p>
        </w:tc>
      </w:tr>
      <w:tr w:rsidR="007B4B61" w:rsidRPr="00B5082D" w14:paraId="0D1B463F" w14:textId="77777777" w:rsidTr="00B5082D">
        <w:tc>
          <w:tcPr>
            <w:tcW w:w="783" w:type="pct"/>
            <w:shd w:val="clear" w:color="auto" w:fill="DEEAF6" w:themeFill="accent5" w:themeFillTint="33"/>
          </w:tcPr>
          <w:p w14:paraId="1BE9AD1C" w14:textId="7E17D537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1.1.7, 1.2.2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6EA2D307" w14:textId="7AA7FA3E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5.6.9, 5.6.16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778694CC" w14:textId="2597C2EF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Protection against crushing around and above control panel</w:t>
            </w:r>
          </w:p>
        </w:tc>
      </w:tr>
      <w:tr w:rsidR="007B4B61" w:rsidRPr="00B5082D" w14:paraId="400B6EA3" w14:textId="77777777" w:rsidTr="00B5082D">
        <w:tc>
          <w:tcPr>
            <w:tcW w:w="783" w:type="pct"/>
            <w:shd w:val="clear" w:color="auto" w:fill="DEEAF6" w:themeFill="accent5" w:themeFillTint="33"/>
          </w:tcPr>
          <w:p w14:paraId="0D9716F1" w14:textId="0A197546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lastRenderedPageBreak/>
              <w:t>3.6.1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7857DF22" w14:textId="03CF7FFB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5.6.10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5E181569" w14:textId="59C6B5AF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Audible warning device on platform</w:t>
            </w:r>
          </w:p>
        </w:tc>
      </w:tr>
      <w:tr w:rsidR="007B4B61" w:rsidRPr="00B5082D" w14:paraId="43D6C7B5" w14:textId="77777777" w:rsidTr="00B5082D">
        <w:tc>
          <w:tcPr>
            <w:tcW w:w="783" w:type="pct"/>
            <w:shd w:val="clear" w:color="auto" w:fill="DEEAF6" w:themeFill="accent5" w:themeFillTint="33"/>
          </w:tcPr>
          <w:p w14:paraId="5EEE0F26" w14:textId="6CA79DD8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1.2.2, 6.2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6DC80469" w14:textId="30C3290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5.7.1, 5.7.3, 5.7.4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2D5E27A8" w14:textId="23C21E5F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Design of control devices and direction of movement</w:t>
            </w:r>
          </w:p>
        </w:tc>
      </w:tr>
      <w:tr w:rsidR="007B4B61" w:rsidRPr="00B5082D" w14:paraId="075D06C2" w14:textId="77777777" w:rsidTr="00B5082D">
        <w:tc>
          <w:tcPr>
            <w:tcW w:w="783" w:type="pct"/>
            <w:shd w:val="clear" w:color="auto" w:fill="DEEAF6" w:themeFill="accent5" w:themeFillTint="33"/>
          </w:tcPr>
          <w:p w14:paraId="319376B1" w14:textId="0894C25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1.2.2, 1.2.5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013D341B" w14:textId="3C9D5ED6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5.7.4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24048E15" w14:textId="3EEC948C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Duplicate controls at ground level</w:t>
            </w:r>
          </w:p>
        </w:tc>
      </w:tr>
      <w:tr w:rsidR="007B4B61" w:rsidRPr="00B5082D" w14:paraId="4D768318" w14:textId="77777777" w:rsidTr="00B5082D">
        <w:tc>
          <w:tcPr>
            <w:tcW w:w="783" w:type="pct"/>
            <w:shd w:val="clear" w:color="auto" w:fill="DEEAF6" w:themeFill="accent5" w:themeFillTint="33"/>
          </w:tcPr>
          <w:p w14:paraId="422806C9" w14:textId="4BBE4BF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1.2.1, 1.2.2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1499121B" w14:textId="12D2D4D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5.7.2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4F585B6B" w14:textId="24511E6C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Mutual exclusion of controls for raising and lowering and direction of movement</w:t>
            </w:r>
          </w:p>
        </w:tc>
      </w:tr>
      <w:tr w:rsidR="007B4B61" w:rsidRPr="00B5082D" w14:paraId="70AA6E73" w14:textId="77777777" w:rsidTr="00B5082D">
        <w:tc>
          <w:tcPr>
            <w:tcW w:w="783" w:type="pct"/>
            <w:shd w:val="clear" w:color="auto" w:fill="DEEAF6" w:themeFill="accent5" w:themeFillTint="33"/>
          </w:tcPr>
          <w:p w14:paraId="771298E7" w14:textId="7FE5E69E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1.2.4.3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716B3EE7" w14:textId="70C6A2E1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5.7.5, 5.7.9, 5.7.9.4</w:t>
            </w:r>
          </w:p>
          <w:p w14:paraId="1F80D633" w14:textId="0A4188AE" w:rsidR="007B4B61" w:rsidRPr="00B5082D" w:rsidRDefault="007B7D18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(</w:t>
            </w:r>
            <w:r w:rsidR="007B4B61" w:rsidRPr="00B5082D">
              <w:rPr>
                <w:rFonts w:ascii="Trebuchet MS" w:hAnsi="Trebuchet MS"/>
                <w:sz w:val="20"/>
                <w:szCs w:val="20"/>
              </w:rPr>
              <w:t>EN ISO 13850</w:t>
            </w:r>
            <w:r w:rsidRPr="00B5082D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2CA614CE" w14:textId="3D422B71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Emergency stop control at each control position</w:t>
            </w:r>
          </w:p>
        </w:tc>
      </w:tr>
      <w:tr w:rsidR="007B4B61" w:rsidRPr="00B5082D" w14:paraId="123F733A" w14:textId="77777777" w:rsidTr="00B5082D">
        <w:tc>
          <w:tcPr>
            <w:tcW w:w="783" w:type="pct"/>
            <w:shd w:val="clear" w:color="auto" w:fill="DEEAF6" w:themeFill="accent5" w:themeFillTint="33"/>
          </w:tcPr>
          <w:p w14:paraId="575E8FF2" w14:textId="00D0624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4.1.2.6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61C51D1D" w14:textId="0951628D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5.7.6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61FAD872" w14:textId="0C2A24EC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Control valves</w:t>
            </w:r>
          </w:p>
        </w:tc>
      </w:tr>
      <w:tr w:rsidR="007B4B61" w:rsidRPr="00B5082D" w14:paraId="0EF28F96" w14:textId="77777777" w:rsidTr="00B5082D">
        <w:tc>
          <w:tcPr>
            <w:tcW w:w="783" w:type="pct"/>
            <w:shd w:val="clear" w:color="auto" w:fill="DEEAF6" w:themeFill="accent5" w:themeFillTint="33"/>
          </w:tcPr>
          <w:p w14:paraId="016AA3B7" w14:textId="06A4AE79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1.5.14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73176112" w14:textId="30C50AD8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5.7.8, 7.2.5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62F3D537" w14:textId="50AE1869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Emergency lowering system in case of power failure – speed limit, marking of instructions for use</w:t>
            </w:r>
          </w:p>
        </w:tc>
      </w:tr>
      <w:tr w:rsidR="007B4B61" w:rsidRPr="00B5082D" w14:paraId="483555A5" w14:textId="77777777" w:rsidTr="00B5082D">
        <w:tc>
          <w:tcPr>
            <w:tcW w:w="783" w:type="pct"/>
            <w:shd w:val="clear" w:color="auto" w:fill="DEEAF6" w:themeFill="accent5" w:themeFillTint="33"/>
          </w:tcPr>
          <w:p w14:paraId="07E94F2E" w14:textId="1581C03B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1.3.3, 1.5.3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1C8F402D" w14:textId="07B767AD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5.9.1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3E9DB51F" w14:textId="6C750AD5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Hydraulic system - pressure limiting device</w:t>
            </w:r>
          </w:p>
        </w:tc>
      </w:tr>
      <w:tr w:rsidR="007B4B61" w:rsidRPr="00B5082D" w14:paraId="331C6688" w14:textId="77777777" w:rsidTr="00B5082D">
        <w:tc>
          <w:tcPr>
            <w:tcW w:w="783" w:type="pct"/>
            <w:shd w:val="clear" w:color="auto" w:fill="DEEAF6" w:themeFill="accent5" w:themeFillTint="33"/>
          </w:tcPr>
          <w:p w14:paraId="185A89E7" w14:textId="69822196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1.3.2, 1.5.3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6469102C" w14:textId="35A677E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5.10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2D9E5D19" w14:textId="41FE01E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Design of load holding cylinders</w:t>
            </w:r>
          </w:p>
        </w:tc>
      </w:tr>
      <w:tr w:rsidR="007B4B61" w:rsidRPr="00B5082D" w14:paraId="22FB1039" w14:textId="77777777" w:rsidTr="00B5082D">
        <w:tc>
          <w:tcPr>
            <w:tcW w:w="783" w:type="pct"/>
            <w:shd w:val="clear" w:color="auto" w:fill="DEEAF6" w:themeFill="accent5" w:themeFillTint="33"/>
          </w:tcPr>
          <w:p w14:paraId="15517DC1" w14:textId="7A9DF51F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1.2.6, 1.3.9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7252219D" w14:textId="64EBD2D1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5.10.1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53E06F55" w14:textId="7947206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Devices to prevent unintended movement in case of failure</w:t>
            </w:r>
          </w:p>
        </w:tc>
      </w:tr>
      <w:tr w:rsidR="007B4B61" w:rsidRPr="00B5082D" w14:paraId="28BE6F26" w14:textId="77777777" w:rsidTr="00B5082D">
        <w:tc>
          <w:tcPr>
            <w:tcW w:w="783" w:type="pct"/>
            <w:shd w:val="clear" w:color="auto" w:fill="FBE4D5" w:themeFill="accent2" w:themeFillTint="33"/>
          </w:tcPr>
          <w:p w14:paraId="768C13D0" w14:textId="1AD49018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1.3.1, 4.1.2.1, 4.1.2.3, 6.1.1</w:t>
            </w:r>
          </w:p>
        </w:tc>
        <w:tc>
          <w:tcPr>
            <w:tcW w:w="785" w:type="pct"/>
            <w:shd w:val="clear" w:color="auto" w:fill="FBE4D5" w:themeFill="accent2" w:themeFillTint="33"/>
          </w:tcPr>
          <w:p w14:paraId="76E10846" w14:textId="2664164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6.1.4.2.1</w:t>
            </w:r>
          </w:p>
        </w:tc>
        <w:tc>
          <w:tcPr>
            <w:tcW w:w="3432" w:type="pct"/>
            <w:shd w:val="clear" w:color="auto" w:fill="FBE4D5" w:themeFill="accent2" w:themeFillTint="33"/>
          </w:tcPr>
          <w:p w14:paraId="32074D0F" w14:textId="6D3FD071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Static tests – including platform extensions</w:t>
            </w:r>
          </w:p>
        </w:tc>
      </w:tr>
      <w:tr w:rsidR="007B4B61" w:rsidRPr="00B5082D" w14:paraId="1F8B8CA7" w14:textId="77777777" w:rsidTr="00B5082D">
        <w:trPr>
          <w:cantSplit/>
        </w:trPr>
        <w:tc>
          <w:tcPr>
            <w:tcW w:w="783" w:type="pct"/>
            <w:shd w:val="clear" w:color="auto" w:fill="FBE4D5" w:themeFill="accent2" w:themeFillTint="33"/>
          </w:tcPr>
          <w:p w14:paraId="13498B95" w14:textId="0462937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1.3.1, 4.1.2.1, 4.1.2.3</w:t>
            </w:r>
          </w:p>
        </w:tc>
        <w:tc>
          <w:tcPr>
            <w:tcW w:w="785" w:type="pct"/>
            <w:shd w:val="clear" w:color="auto" w:fill="FBE4D5" w:themeFill="accent2" w:themeFillTint="33"/>
          </w:tcPr>
          <w:p w14:paraId="29E321DF" w14:textId="33B7D5EE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5.3.1.20</w:t>
            </w:r>
            <w:r w:rsidR="007B7D18" w:rsidRPr="00B5082D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B5082D">
              <w:rPr>
                <w:rFonts w:ascii="Trebuchet MS" w:hAnsi="Trebuchet MS"/>
                <w:sz w:val="20"/>
                <w:szCs w:val="20"/>
              </w:rPr>
              <w:t>6.1.4.2.2.1</w:t>
            </w:r>
          </w:p>
          <w:p w14:paraId="077C8CC1" w14:textId="3F296D8E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6.1.4.2.2.2</w:t>
            </w:r>
          </w:p>
        </w:tc>
        <w:tc>
          <w:tcPr>
            <w:tcW w:w="3432" w:type="pct"/>
            <w:shd w:val="clear" w:color="auto" w:fill="FBE4D5" w:themeFill="accent2" w:themeFillTint="33"/>
          </w:tcPr>
          <w:p w14:paraId="50306F60" w14:textId="74580EC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Kerb and depression tests</w:t>
            </w:r>
          </w:p>
        </w:tc>
      </w:tr>
      <w:tr w:rsidR="007B4B61" w:rsidRPr="00B5082D" w14:paraId="1A5EB1E3" w14:textId="77777777" w:rsidTr="00B5082D">
        <w:tc>
          <w:tcPr>
            <w:tcW w:w="783" w:type="pct"/>
            <w:shd w:val="clear" w:color="auto" w:fill="FBE4D5" w:themeFill="accent2" w:themeFillTint="33"/>
          </w:tcPr>
          <w:p w14:paraId="601FA439" w14:textId="61337268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3.3.3</w:t>
            </w:r>
          </w:p>
        </w:tc>
        <w:tc>
          <w:tcPr>
            <w:tcW w:w="785" w:type="pct"/>
            <w:shd w:val="clear" w:color="auto" w:fill="FBE4D5" w:themeFill="accent2" w:themeFillTint="33"/>
          </w:tcPr>
          <w:p w14:paraId="38EBFE9E" w14:textId="2E4FDE21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6.1.4.2.2.3</w:t>
            </w:r>
          </w:p>
        </w:tc>
        <w:tc>
          <w:tcPr>
            <w:tcW w:w="3432" w:type="pct"/>
            <w:shd w:val="clear" w:color="auto" w:fill="FBE4D5" w:themeFill="accent2" w:themeFillTint="33"/>
          </w:tcPr>
          <w:p w14:paraId="5093BA0E" w14:textId="335CC3A4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Braking tests</w:t>
            </w:r>
          </w:p>
        </w:tc>
      </w:tr>
      <w:tr w:rsidR="007B4B61" w:rsidRPr="00B5082D" w14:paraId="40E4B91A" w14:textId="77777777" w:rsidTr="00B5082D">
        <w:tc>
          <w:tcPr>
            <w:tcW w:w="783" w:type="pct"/>
            <w:shd w:val="clear" w:color="auto" w:fill="FBE4D5" w:themeFill="accent2" w:themeFillTint="33"/>
          </w:tcPr>
          <w:p w14:paraId="40B849C2" w14:textId="6948022E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4.1.2.3</w:t>
            </w:r>
          </w:p>
        </w:tc>
        <w:tc>
          <w:tcPr>
            <w:tcW w:w="785" w:type="pct"/>
            <w:shd w:val="clear" w:color="auto" w:fill="FBE4D5" w:themeFill="accent2" w:themeFillTint="33"/>
          </w:tcPr>
          <w:p w14:paraId="78F25E48" w14:textId="570C9F9E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6.1.4.3</w:t>
            </w:r>
          </w:p>
        </w:tc>
        <w:tc>
          <w:tcPr>
            <w:tcW w:w="3432" w:type="pct"/>
            <w:shd w:val="clear" w:color="auto" w:fill="FBE4D5" w:themeFill="accent2" w:themeFillTint="33"/>
          </w:tcPr>
          <w:p w14:paraId="0517E2F3" w14:textId="64CA3ED9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Overload test</w:t>
            </w:r>
          </w:p>
        </w:tc>
      </w:tr>
      <w:tr w:rsidR="007B4B61" w:rsidRPr="00B5082D" w14:paraId="3E4144AC" w14:textId="77777777" w:rsidTr="00B5082D">
        <w:tc>
          <w:tcPr>
            <w:tcW w:w="783" w:type="pct"/>
            <w:shd w:val="clear" w:color="auto" w:fill="FBE4D5" w:themeFill="accent2" w:themeFillTint="33"/>
          </w:tcPr>
          <w:p w14:paraId="3BF5C1F9" w14:textId="6D0B2B8D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4.1.2.3</w:t>
            </w:r>
          </w:p>
        </w:tc>
        <w:tc>
          <w:tcPr>
            <w:tcW w:w="785" w:type="pct"/>
            <w:shd w:val="clear" w:color="auto" w:fill="FBE4D5" w:themeFill="accent2" w:themeFillTint="33"/>
          </w:tcPr>
          <w:p w14:paraId="5E1F3D2E" w14:textId="7324F1BF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6.1.4.4</w:t>
            </w:r>
          </w:p>
        </w:tc>
        <w:tc>
          <w:tcPr>
            <w:tcW w:w="3432" w:type="pct"/>
            <w:shd w:val="clear" w:color="auto" w:fill="FBE4D5" w:themeFill="accent2" w:themeFillTint="33"/>
          </w:tcPr>
          <w:p w14:paraId="6F7AF1BD" w14:textId="1E3921B2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Additional tests for MEWPs supported by pneumatic tyres</w:t>
            </w:r>
          </w:p>
        </w:tc>
      </w:tr>
      <w:tr w:rsidR="007B4B61" w:rsidRPr="00B5082D" w14:paraId="4A125AA5" w14:textId="77777777" w:rsidTr="00B5082D">
        <w:tc>
          <w:tcPr>
            <w:tcW w:w="783" w:type="pct"/>
            <w:shd w:val="clear" w:color="auto" w:fill="DEEAF6" w:themeFill="accent5" w:themeFillTint="33"/>
          </w:tcPr>
          <w:p w14:paraId="3DF17D05" w14:textId="77777777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DEEAF6" w:themeFill="accent5" w:themeFillTint="33"/>
          </w:tcPr>
          <w:p w14:paraId="7455FBE9" w14:textId="7B871A19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7.2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21AE0458" w14:textId="09011D35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Marking</w:t>
            </w:r>
          </w:p>
        </w:tc>
      </w:tr>
      <w:tr w:rsidR="007B4B61" w:rsidRPr="00B5082D" w14:paraId="45D85BB5" w14:textId="77777777" w:rsidTr="00B5082D">
        <w:tc>
          <w:tcPr>
            <w:tcW w:w="783" w:type="pct"/>
            <w:shd w:val="clear" w:color="auto" w:fill="DEEAF6" w:themeFill="accent5" w:themeFillTint="33"/>
          </w:tcPr>
          <w:p w14:paraId="087E46B8" w14:textId="5B293AC6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1.7.1, 1.7.3, 4.3.3, 6.5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6F6BBD15" w14:textId="3FEB446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7.2.1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1341D055" w14:textId="3FFE66D6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Manufacturer’s plate</w:t>
            </w:r>
          </w:p>
        </w:tc>
      </w:tr>
      <w:tr w:rsidR="007B4B61" w:rsidRPr="00B5082D" w14:paraId="02E23F0A" w14:textId="77777777" w:rsidTr="00B5082D">
        <w:tc>
          <w:tcPr>
            <w:tcW w:w="783" w:type="pct"/>
            <w:shd w:val="clear" w:color="auto" w:fill="DEEAF6" w:themeFill="accent5" w:themeFillTint="33"/>
          </w:tcPr>
          <w:p w14:paraId="7D7EA9FB" w14:textId="6716A523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1.7.1, 4.3.3, 6.5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7F4C0FDF" w14:textId="5FA8C87B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7.2.2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2409CA6F" w14:textId="65D0AA10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Rated load, number of persons, max</w:t>
            </w:r>
            <w:r w:rsidR="007B7D18" w:rsidRPr="00B5082D">
              <w:rPr>
                <w:rFonts w:ascii="Trebuchet MS" w:hAnsi="Trebuchet MS"/>
                <w:sz w:val="20"/>
                <w:szCs w:val="20"/>
              </w:rPr>
              <w:t>imum</w:t>
            </w:r>
            <w:r w:rsidRPr="00B5082D">
              <w:rPr>
                <w:rFonts w:ascii="Trebuchet MS" w:hAnsi="Trebuchet MS"/>
                <w:sz w:val="20"/>
                <w:szCs w:val="20"/>
              </w:rPr>
              <w:t xml:space="preserve"> wind speed</w:t>
            </w:r>
          </w:p>
        </w:tc>
      </w:tr>
      <w:tr w:rsidR="007B4B61" w:rsidRPr="00B5082D" w14:paraId="3DD17CBD" w14:textId="77777777" w:rsidTr="00B5082D">
        <w:tc>
          <w:tcPr>
            <w:tcW w:w="783" w:type="pct"/>
            <w:shd w:val="clear" w:color="auto" w:fill="DEEAF6" w:themeFill="accent5" w:themeFillTint="33"/>
          </w:tcPr>
          <w:p w14:paraId="29B3B412" w14:textId="5F6B15D7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1.7.1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6E0FED87" w14:textId="2B14AB6D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7.2.7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74184FD2" w14:textId="3C6401D0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Indoor use only</w:t>
            </w:r>
          </w:p>
        </w:tc>
      </w:tr>
      <w:tr w:rsidR="007B4B61" w:rsidRPr="00B5082D" w14:paraId="057D6907" w14:textId="77777777" w:rsidTr="00B5082D">
        <w:tc>
          <w:tcPr>
            <w:tcW w:w="783" w:type="pct"/>
            <w:shd w:val="clear" w:color="auto" w:fill="DEEAF6" w:themeFill="accent5" w:themeFillTint="33"/>
          </w:tcPr>
          <w:p w14:paraId="2C616C50" w14:textId="6DB27B7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1.7.1</w:t>
            </w:r>
          </w:p>
        </w:tc>
        <w:tc>
          <w:tcPr>
            <w:tcW w:w="785" w:type="pct"/>
            <w:shd w:val="clear" w:color="auto" w:fill="DEEAF6" w:themeFill="accent5" w:themeFillTint="33"/>
          </w:tcPr>
          <w:p w14:paraId="3085081D" w14:textId="650BC46F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7.2.14</w:t>
            </w:r>
          </w:p>
        </w:tc>
        <w:tc>
          <w:tcPr>
            <w:tcW w:w="3432" w:type="pct"/>
            <w:shd w:val="clear" w:color="auto" w:fill="DEEAF6" w:themeFill="accent5" w:themeFillTint="33"/>
          </w:tcPr>
          <w:p w14:paraId="7A950C36" w14:textId="605F44BA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Pressure for pneumatic tyres</w:t>
            </w:r>
          </w:p>
        </w:tc>
      </w:tr>
      <w:tr w:rsidR="007B4B61" w:rsidRPr="00B5082D" w14:paraId="77711A90" w14:textId="77777777" w:rsidTr="00B5082D">
        <w:tc>
          <w:tcPr>
            <w:tcW w:w="783" w:type="pct"/>
            <w:shd w:val="clear" w:color="auto" w:fill="auto"/>
          </w:tcPr>
          <w:p w14:paraId="3F14BA83" w14:textId="54A9A08B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1.7.4, 4.4.2</w:t>
            </w:r>
          </w:p>
        </w:tc>
        <w:tc>
          <w:tcPr>
            <w:tcW w:w="785" w:type="pct"/>
            <w:shd w:val="clear" w:color="auto" w:fill="auto"/>
          </w:tcPr>
          <w:p w14:paraId="19441C44" w14:textId="5B66E5BF" w:rsidR="007B4B61" w:rsidRPr="00B5082D" w:rsidRDefault="007B4B61" w:rsidP="00DD4CEC">
            <w:pPr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>7.1</w:t>
            </w:r>
          </w:p>
        </w:tc>
        <w:tc>
          <w:tcPr>
            <w:tcW w:w="3432" w:type="pct"/>
            <w:shd w:val="clear" w:color="auto" w:fill="auto"/>
          </w:tcPr>
          <w:p w14:paraId="64FD2D06" w14:textId="11FD17FE" w:rsidR="007B4B61" w:rsidRPr="00B5082D" w:rsidRDefault="00D83B9A" w:rsidP="00DD4CE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5082D">
              <w:rPr>
                <w:rFonts w:ascii="Trebuchet MS" w:hAnsi="Trebuchet MS"/>
                <w:sz w:val="20"/>
                <w:szCs w:val="20"/>
              </w:rPr>
              <w:t xml:space="preserve">The instructions will be available for consultation during the inspections and tests but the content of the instructions will be checked by the participating </w:t>
            </w:r>
            <w:r w:rsidR="00E759C5" w:rsidRPr="00B5082D">
              <w:rPr>
                <w:rFonts w:ascii="Trebuchet MS" w:hAnsi="Trebuchet MS"/>
                <w:sz w:val="20"/>
                <w:szCs w:val="20"/>
              </w:rPr>
              <w:t xml:space="preserve">market surveillance </w:t>
            </w:r>
            <w:r w:rsidRPr="00B5082D">
              <w:rPr>
                <w:rFonts w:ascii="Trebuchet MS" w:hAnsi="Trebuchet MS"/>
                <w:sz w:val="20"/>
                <w:szCs w:val="20"/>
              </w:rPr>
              <w:t>authorities</w:t>
            </w:r>
            <w:r w:rsidR="00E759C5" w:rsidRPr="00B5082D">
              <w:rPr>
                <w:rFonts w:ascii="Trebuchet MS" w:hAnsi="Trebuchet MS"/>
                <w:sz w:val="20"/>
                <w:szCs w:val="20"/>
              </w:rPr>
              <w:t xml:space="preserve"> themselves. </w:t>
            </w:r>
            <w:r w:rsidRPr="00B5082D">
              <w:rPr>
                <w:rFonts w:ascii="Trebuchet MS" w:hAnsi="Trebuchet MS"/>
                <w:sz w:val="20"/>
                <w:szCs w:val="20"/>
              </w:rPr>
              <w:t xml:space="preserve">Consequently, </w:t>
            </w:r>
            <w:r w:rsidR="00E759C5" w:rsidRPr="00B5082D">
              <w:rPr>
                <w:rFonts w:ascii="Trebuchet MS" w:hAnsi="Trebuchet MS"/>
                <w:sz w:val="20"/>
                <w:szCs w:val="20"/>
              </w:rPr>
              <w:t xml:space="preserve">checking </w:t>
            </w:r>
            <w:r w:rsidRPr="00B5082D">
              <w:rPr>
                <w:rFonts w:ascii="Trebuchet MS" w:hAnsi="Trebuchet MS"/>
                <w:sz w:val="20"/>
                <w:szCs w:val="20"/>
              </w:rPr>
              <w:t xml:space="preserve">the instructions is </w:t>
            </w:r>
            <w:r w:rsidR="00B5082D" w:rsidRPr="00B5082D">
              <w:rPr>
                <w:rFonts w:ascii="Trebuchet MS" w:hAnsi="Trebuchet MS"/>
                <w:b/>
                <w:bCs/>
                <w:u w:val="single"/>
              </w:rPr>
              <w:t>NOT</w:t>
            </w:r>
            <w:r w:rsidRPr="00B5082D">
              <w:rPr>
                <w:rFonts w:ascii="Trebuchet MS" w:hAnsi="Trebuchet MS"/>
                <w:b/>
                <w:bCs/>
                <w:u w:val="single"/>
              </w:rPr>
              <w:t xml:space="preserve"> to be include</w:t>
            </w:r>
            <w:r w:rsidR="00E759C5" w:rsidRPr="00B5082D">
              <w:rPr>
                <w:rFonts w:ascii="Trebuchet MS" w:hAnsi="Trebuchet MS"/>
                <w:b/>
                <w:bCs/>
                <w:u w:val="single"/>
              </w:rPr>
              <w:t>d</w:t>
            </w:r>
            <w:r w:rsidRPr="00B5082D">
              <w:rPr>
                <w:rFonts w:ascii="Trebuchet MS" w:hAnsi="Trebuchet MS"/>
              </w:rPr>
              <w:t xml:space="preserve"> </w:t>
            </w:r>
            <w:r w:rsidRPr="00B5082D">
              <w:rPr>
                <w:rFonts w:ascii="Trebuchet MS" w:hAnsi="Trebuchet MS"/>
                <w:sz w:val="20"/>
                <w:szCs w:val="20"/>
              </w:rPr>
              <w:t>in the price per model quoted for the comprehensive inspections and testing.</w:t>
            </w:r>
          </w:p>
        </w:tc>
      </w:tr>
    </w:tbl>
    <w:p w14:paraId="378E268D" w14:textId="77777777" w:rsidR="00E759C5" w:rsidRDefault="00E759C5"/>
    <w:tbl>
      <w:tblPr>
        <w:tblStyle w:val="TableGrid"/>
        <w:tblW w:w="5181" w:type="pct"/>
        <w:tblBorders>
          <w:top w:val="single" w:sz="2" w:space="0" w:color="C9C9C9" w:themeColor="accent3" w:themeTint="99"/>
          <w:left w:val="single" w:sz="2" w:space="0" w:color="C9C9C9" w:themeColor="accent3" w:themeTint="99"/>
          <w:bottom w:val="single" w:sz="2" w:space="0" w:color="C9C9C9" w:themeColor="accent3" w:themeTint="99"/>
          <w:right w:val="single" w:sz="2" w:space="0" w:color="C9C9C9" w:themeColor="accent3" w:themeTint="99"/>
          <w:insideH w:val="single" w:sz="2" w:space="0" w:color="C9C9C9" w:themeColor="accent3" w:themeTint="99"/>
          <w:insideV w:val="single" w:sz="2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1612"/>
        <w:gridCol w:w="7431"/>
        <w:gridCol w:w="6079"/>
      </w:tblGrid>
      <w:tr w:rsidR="00D83B9A" w:rsidRPr="00155412" w14:paraId="5E21946C" w14:textId="77777777" w:rsidTr="00B5082D">
        <w:tc>
          <w:tcPr>
            <w:tcW w:w="5000" w:type="pct"/>
            <w:gridSpan w:val="3"/>
            <w:shd w:val="clear" w:color="auto" w:fill="auto"/>
          </w:tcPr>
          <w:p w14:paraId="5B476CB0" w14:textId="358E2738" w:rsidR="00D83B9A" w:rsidRPr="002F3713" w:rsidRDefault="00D83B9A" w:rsidP="00B5082D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2F3713">
              <w:rPr>
                <w:rFonts w:ascii="Trebuchet MS" w:hAnsi="Trebuchet MS"/>
                <w:b/>
                <w:bCs/>
                <w:sz w:val="28"/>
                <w:szCs w:val="28"/>
              </w:rPr>
              <w:t>PRICES</w:t>
            </w:r>
            <w:r w:rsidR="002F3713" w:rsidRPr="002F3713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</w:t>
            </w:r>
            <w:r w:rsidR="00E759C5" w:rsidRPr="002F3713">
              <w:rPr>
                <w:rFonts w:ascii="Trebuchet MS" w:hAnsi="Trebuchet MS"/>
                <w:b/>
                <w:bCs/>
                <w:sz w:val="28"/>
                <w:szCs w:val="28"/>
              </w:rPr>
              <w:t>(in Euros, without VAT)</w:t>
            </w:r>
          </w:p>
        </w:tc>
      </w:tr>
      <w:tr w:rsidR="00D83B9A" w:rsidRPr="00B5082D" w14:paraId="67E3857A" w14:textId="77777777" w:rsidTr="00B5082D">
        <w:tc>
          <w:tcPr>
            <w:tcW w:w="5000" w:type="pct"/>
            <w:gridSpan w:val="3"/>
            <w:shd w:val="clear" w:color="auto" w:fill="auto"/>
          </w:tcPr>
          <w:p w14:paraId="7EDFB9B0" w14:textId="3C806388" w:rsidR="00D83B9A" w:rsidRPr="00B5082D" w:rsidRDefault="00D83B9A" w:rsidP="00B5082D">
            <w:pPr>
              <w:spacing w:before="60" w:after="60"/>
              <w:rPr>
                <w:rFonts w:ascii="Trebuchet MS" w:hAnsi="Trebuchet MS"/>
              </w:rPr>
            </w:pPr>
            <w:r w:rsidRPr="00B5082D">
              <w:rPr>
                <w:rFonts w:ascii="Trebuchet MS" w:hAnsi="Trebuchet MS"/>
              </w:rPr>
              <w:t>Tenderers for both Lots A and B shall quote a daily rate for on-site inspection and testing and a price per model for comprehensive inspection and testing. Tenderers for Lot A or Lot B alone shall provide a single quote for the Lot concerned.</w:t>
            </w:r>
          </w:p>
        </w:tc>
      </w:tr>
      <w:tr w:rsidR="00D83B9A" w:rsidRPr="00155412" w14:paraId="14928548" w14:textId="77777777" w:rsidTr="00B5082D">
        <w:tc>
          <w:tcPr>
            <w:tcW w:w="533" w:type="pct"/>
            <w:shd w:val="clear" w:color="auto" w:fill="auto"/>
          </w:tcPr>
          <w:p w14:paraId="4B609D15" w14:textId="5096C2D3" w:rsidR="00D83B9A" w:rsidRPr="00E759C5" w:rsidRDefault="00D83B9A" w:rsidP="00B5082D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 w:rsidRPr="00E759C5">
              <w:rPr>
                <w:rFonts w:ascii="Trebuchet MS" w:hAnsi="Trebuchet MS"/>
                <w:b/>
                <w:bCs/>
              </w:rPr>
              <w:t>Lot A</w:t>
            </w:r>
          </w:p>
        </w:tc>
        <w:tc>
          <w:tcPr>
            <w:tcW w:w="2457" w:type="pct"/>
            <w:shd w:val="clear" w:color="auto" w:fill="auto"/>
          </w:tcPr>
          <w:p w14:paraId="547706F8" w14:textId="4E4EDAFD" w:rsidR="00D83B9A" w:rsidRPr="00E759C5" w:rsidRDefault="00D83B9A" w:rsidP="00B5082D">
            <w:pPr>
              <w:spacing w:before="60" w:after="60"/>
              <w:rPr>
                <w:rFonts w:ascii="Trebuchet MS" w:hAnsi="Trebuchet MS"/>
                <w:b/>
                <w:bCs/>
              </w:rPr>
            </w:pPr>
            <w:r w:rsidRPr="00E759C5">
              <w:rPr>
                <w:rFonts w:ascii="Trebuchet MS" w:hAnsi="Trebuchet MS"/>
                <w:b/>
                <w:bCs/>
              </w:rPr>
              <w:t>Daily rate for on-site inspection and reporting</w:t>
            </w:r>
            <w:r w:rsidR="002F3713">
              <w:rPr>
                <w:rFonts w:ascii="Trebuchet MS" w:hAnsi="Trebuchet MS"/>
                <w:b/>
                <w:bCs/>
              </w:rPr>
              <w:t>:</w:t>
            </w:r>
          </w:p>
        </w:tc>
        <w:tc>
          <w:tcPr>
            <w:tcW w:w="2010" w:type="pct"/>
            <w:shd w:val="clear" w:color="auto" w:fill="auto"/>
          </w:tcPr>
          <w:p w14:paraId="755337D9" w14:textId="77777777" w:rsidR="00D83B9A" w:rsidRDefault="00D83B9A" w:rsidP="00B5082D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BA69FF" w:rsidRPr="00155412" w14:paraId="4775385F" w14:textId="77777777" w:rsidTr="00BA69FF">
        <w:tc>
          <w:tcPr>
            <w:tcW w:w="533" w:type="pct"/>
            <w:vMerge w:val="restart"/>
            <w:shd w:val="clear" w:color="auto" w:fill="auto"/>
            <w:vAlign w:val="center"/>
          </w:tcPr>
          <w:p w14:paraId="50B0CE24" w14:textId="5446643C" w:rsidR="00BA69FF" w:rsidRPr="00E759C5" w:rsidRDefault="00BA69FF" w:rsidP="00BA69FF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 w:rsidRPr="00E759C5">
              <w:rPr>
                <w:rFonts w:ascii="Trebuchet MS" w:hAnsi="Trebuchet MS"/>
                <w:b/>
                <w:bCs/>
              </w:rPr>
              <w:t>Lot B</w:t>
            </w:r>
          </w:p>
        </w:tc>
        <w:tc>
          <w:tcPr>
            <w:tcW w:w="2457" w:type="pct"/>
            <w:shd w:val="clear" w:color="auto" w:fill="auto"/>
          </w:tcPr>
          <w:p w14:paraId="29E1190A" w14:textId="5FBC44C3" w:rsidR="00BA69FF" w:rsidRPr="00E759C5" w:rsidRDefault="00BA69FF" w:rsidP="00B5082D">
            <w:pPr>
              <w:spacing w:before="60" w:after="60"/>
              <w:rPr>
                <w:rFonts w:ascii="Trebuchet MS" w:hAnsi="Trebuchet MS"/>
                <w:b/>
                <w:bCs/>
              </w:rPr>
            </w:pPr>
            <w:r w:rsidRPr="00E759C5">
              <w:rPr>
                <w:rFonts w:ascii="Trebuchet MS" w:hAnsi="Trebuchet MS"/>
                <w:b/>
                <w:bCs/>
              </w:rPr>
              <w:t>Price per model for the comprehensive inspection and testing</w:t>
            </w:r>
            <w:r>
              <w:rPr>
                <w:rFonts w:ascii="Trebuchet MS" w:hAnsi="Trebuchet MS"/>
                <w:b/>
                <w:bCs/>
              </w:rPr>
              <w:t>:</w:t>
            </w:r>
          </w:p>
        </w:tc>
        <w:tc>
          <w:tcPr>
            <w:tcW w:w="2010" w:type="pct"/>
            <w:shd w:val="clear" w:color="auto" w:fill="auto"/>
          </w:tcPr>
          <w:p w14:paraId="3B8A65EE" w14:textId="77777777" w:rsidR="00BA69FF" w:rsidRDefault="00BA69FF" w:rsidP="00B5082D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BA69FF" w:rsidRPr="00155412" w14:paraId="5FFD09AC" w14:textId="77777777" w:rsidTr="00B5082D">
        <w:tc>
          <w:tcPr>
            <w:tcW w:w="533" w:type="pct"/>
            <w:vMerge/>
            <w:shd w:val="clear" w:color="auto" w:fill="auto"/>
          </w:tcPr>
          <w:p w14:paraId="5C7F9EF7" w14:textId="42340B7B" w:rsidR="00BA69FF" w:rsidRPr="00E759C5" w:rsidRDefault="00BA69FF" w:rsidP="00B5082D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457" w:type="pct"/>
            <w:shd w:val="clear" w:color="auto" w:fill="auto"/>
          </w:tcPr>
          <w:p w14:paraId="270258B3" w14:textId="5C4F0D40" w:rsidR="00BA69FF" w:rsidRPr="00E759C5" w:rsidRDefault="00BA69FF" w:rsidP="00B5082D">
            <w:pPr>
              <w:spacing w:before="60" w:after="6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Price of disposal per model:</w:t>
            </w:r>
          </w:p>
        </w:tc>
        <w:tc>
          <w:tcPr>
            <w:tcW w:w="2010" w:type="pct"/>
            <w:shd w:val="clear" w:color="auto" w:fill="auto"/>
          </w:tcPr>
          <w:p w14:paraId="2011A53E" w14:textId="77777777" w:rsidR="00BA69FF" w:rsidRDefault="00BA69FF" w:rsidP="00B5082D">
            <w:pPr>
              <w:spacing w:before="60" w:after="60"/>
              <w:rPr>
                <w:rFonts w:ascii="Trebuchet MS" w:hAnsi="Trebuchet MS"/>
              </w:rPr>
            </w:pPr>
          </w:p>
        </w:tc>
      </w:tr>
    </w:tbl>
    <w:p w14:paraId="530B86B4" w14:textId="77777777" w:rsidR="00155412" w:rsidRPr="00155412" w:rsidRDefault="00155412" w:rsidP="00DC312F">
      <w:pPr>
        <w:spacing w:before="60" w:after="60" w:line="240" w:lineRule="auto"/>
        <w:rPr>
          <w:rFonts w:ascii="Trebuchet MS" w:hAnsi="Trebuchet MS"/>
          <w:b/>
          <w:bCs/>
        </w:rPr>
      </w:pPr>
    </w:p>
    <w:sectPr w:rsidR="00155412" w:rsidRPr="00155412" w:rsidSect="00DC312F">
      <w:headerReference w:type="default" r:id="rId10"/>
      <w:footerReference w:type="default" r:id="rId11"/>
      <w:pgSz w:w="16838" w:h="11906" w:orient="landscape"/>
      <w:pgMar w:top="1418" w:right="1245" w:bottom="567" w:left="993" w:header="42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A3CE" w14:textId="77777777" w:rsidR="00B679B8" w:rsidRDefault="00B679B8" w:rsidP="00656B12">
      <w:pPr>
        <w:spacing w:after="0" w:line="240" w:lineRule="auto"/>
      </w:pPr>
      <w:r>
        <w:separator/>
      </w:r>
    </w:p>
  </w:endnote>
  <w:endnote w:type="continuationSeparator" w:id="0">
    <w:p w14:paraId="7F4325B1" w14:textId="77777777" w:rsidR="00B679B8" w:rsidRDefault="00B679B8" w:rsidP="0065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A094" w14:textId="77777777" w:rsidR="00B5082D" w:rsidRDefault="00B5082D">
    <w:pPr>
      <w:pStyle w:val="Footer"/>
      <w:jc w:val="right"/>
    </w:pPr>
  </w:p>
  <w:sdt>
    <w:sdtPr>
      <w:id w:val="-1437200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321B0" w14:textId="4DD377AA" w:rsidR="00782FF4" w:rsidRDefault="00782F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020CF" w14:textId="77777777" w:rsidR="00782FF4" w:rsidRDefault="00782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81F2" w14:textId="77777777" w:rsidR="00B679B8" w:rsidRDefault="00B679B8" w:rsidP="00656B12">
      <w:pPr>
        <w:spacing w:after="0" w:line="240" w:lineRule="auto"/>
      </w:pPr>
      <w:r>
        <w:separator/>
      </w:r>
    </w:p>
  </w:footnote>
  <w:footnote w:type="continuationSeparator" w:id="0">
    <w:p w14:paraId="608F961B" w14:textId="77777777" w:rsidR="00B679B8" w:rsidRDefault="00B679B8" w:rsidP="0065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751E" w14:textId="30EEAC12" w:rsidR="00B5082D" w:rsidRDefault="00656B12" w:rsidP="00DC312F">
    <w:pPr>
      <w:pStyle w:val="Header"/>
      <w:jc w:val="center"/>
    </w:pPr>
    <w:r>
      <w:rPr>
        <w:noProof/>
      </w:rPr>
      <w:drawing>
        <wp:inline distT="0" distB="0" distL="0" distR="0" wp14:anchorId="2B26431E" wp14:editId="7B440CFE">
          <wp:extent cx="5399356" cy="568263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379" cy="581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3127"/>
    <w:multiLevelType w:val="hybridMultilevel"/>
    <w:tmpl w:val="F57ACFB2"/>
    <w:lvl w:ilvl="0" w:tplc="5B8C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7543"/>
    <w:multiLevelType w:val="hybridMultilevel"/>
    <w:tmpl w:val="D118FFDC"/>
    <w:lvl w:ilvl="0" w:tplc="5B8C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B0947"/>
    <w:multiLevelType w:val="hybridMultilevel"/>
    <w:tmpl w:val="3E521908"/>
    <w:lvl w:ilvl="0" w:tplc="5B8C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3B8A"/>
    <w:multiLevelType w:val="hybridMultilevel"/>
    <w:tmpl w:val="DC3434CE"/>
    <w:lvl w:ilvl="0" w:tplc="5B8C9444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6E7C5B94"/>
    <w:multiLevelType w:val="hybridMultilevel"/>
    <w:tmpl w:val="11648A8C"/>
    <w:lvl w:ilvl="0" w:tplc="5B8C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E0105"/>
    <w:multiLevelType w:val="hybridMultilevel"/>
    <w:tmpl w:val="A64ADAE6"/>
    <w:lvl w:ilvl="0" w:tplc="5B8C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046A4"/>
    <w:multiLevelType w:val="hybridMultilevel"/>
    <w:tmpl w:val="AE5E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22495"/>
    <w:multiLevelType w:val="hybridMultilevel"/>
    <w:tmpl w:val="3C9EFCC4"/>
    <w:lvl w:ilvl="0" w:tplc="5B8C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3178A"/>
    <w:multiLevelType w:val="hybridMultilevel"/>
    <w:tmpl w:val="8B907E4C"/>
    <w:lvl w:ilvl="0" w:tplc="5B8C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37668">
    <w:abstractNumId w:val="7"/>
  </w:num>
  <w:num w:numId="2" w16cid:durableId="253562732">
    <w:abstractNumId w:val="4"/>
  </w:num>
  <w:num w:numId="3" w16cid:durableId="46413534">
    <w:abstractNumId w:val="6"/>
  </w:num>
  <w:num w:numId="4" w16cid:durableId="1577670224">
    <w:abstractNumId w:val="3"/>
  </w:num>
  <w:num w:numId="5" w16cid:durableId="1489592333">
    <w:abstractNumId w:val="8"/>
  </w:num>
  <w:num w:numId="6" w16cid:durableId="987707080">
    <w:abstractNumId w:val="1"/>
  </w:num>
  <w:num w:numId="7" w16cid:durableId="1854219736">
    <w:abstractNumId w:val="5"/>
  </w:num>
  <w:num w:numId="8" w16cid:durableId="1850095199">
    <w:abstractNumId w:val="2"/>
  </w:num>
  <w:num w:numId="9" w16cid:durableId="7002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D0"/>
    <w:rsid w:val="000571D3"/>
    <w:rsid w:val="000D40FB"/>
    <w:rsid w:val="00122B7E"/>
    <w:rsid w:val="00155412"/>
    <w:rsid w:val="001554D1"/>
    <w:rsid w:val="00170CB1"/>
    <w:rsid w:val="00197C6F"/>
    <w:rsid w:val="001D72B5"/>
    <w:rsid w:val="00281658"/>
    <w:rsid w:val="002A42D0"/>
    <w:rsid w:val="002F3713"/>
    <w:rsid w:val="0034059F"/>
    <w:rsid w:val="003A08D8"/>
    <w:rsid w:val="003C17CE"/>
    <w:rsid w:val="003D666D"/>
    <w:rsid w:val="003E60EE"/>
    <w:rsid w:val="003F03BE"/>
    <w:rsid w:val="00491C5A"/>
    <w:rsid w:val="004A3DCD"/>
    <w:rsid w:val="004D0B71"/>
    <w:rsid w:val="004D1B36"/>
    <w:rsid w:val="005729B0"/>
    <w:rsid w:val="005A3235"/>
    <w:rsid w:val="005F6D9F"/>
    <w:rsid w:val="00600A0A"/>
    <w:rsid w:val="00656B12"/>
    <w:rsid w:val="007645EE"/>
    <w:rsid w:val="00782FF4"/>
    <w:rsid w:val="00795866"/>
    <w:rsid w:val="007B4B61"/>
    <w:rsid w:val="007B7D18"/>
    <w:rsid w:val="008445D2"/>
    <w:rsid w:val="008D3D4B"/>
    <w:rsid w:val="009000D2"/>
    <w:rsid w:val="00927FA2"/>
    <w:rsid w:val="009711DF"/>
    <w:rsid w:val="009A6735"/>
    <w:rsid w:val="00A64B3C"/>
    <w:rsid w:val="00B5082D"/>
    <w:rsid w:val="00B679B8"/>
    <w:rsid w:val="00B9598F"/>
    <w:rsid w:val="00BA69FF"/>
    <w:rsid w:val="00BD1A41"/>
    <w:rsid w:val="00C161B1"/>
    <w:rsid w:val="00D4407B"/>
    <w:rsid w:val="00D469CE"/>
    <w:rsid w:val="00D62BB4"/>
    <w:rsid w:val="00D83B9A"/>
    <w:rsid w:val="00D94BC5"/>
    <w:rsid w:val="00DC312F"/>
    <w:rsid w:val="00DD4CEC"/>
    <w:rsid w:val="00E610DF"/>
    <w:rsid w:val="00E7146D"/>
    <w:rsid w:val="00E72397"/>
    <w:rsid w:val="00E759C5"/>
    <w:rsid w:val="00E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D325D"/>
  <w15:chartTrackingRefBased/>
  <w15:docId w15:val="{9F9F66B3-74B3-458D-9896-901519DA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3C"/>
    <w:pPr>
      <w:ind w:left="720"/>
      <w:contextualSpacing/>
    </w:pPr>
  </w:style>
  <w:style w:type="table" w:styleId="TableGrid">
    <w:name w:val="Table Grid"/>
    <w:basedOn w:val="TableNormal"/>
    <w:uiPriority w:val="39"/>
    <w:rsid w:val="0015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12"/>
  </w:style>
  <w:style w:type="paragraph" w:styleId="Footer">
    <w:name w:val="footer"/>
    <w:basedOn w:val="Normal"/>
    <w:link w:val="FooterChar"/>
    <w:uiPriority w:val="99"/>
    <w:unhideWhenUsed/>
    <w:rsid w:val="0065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4029-e3a4-48cd-a4ff-1c1849582a95" xsi:nil="true"/>
    <lcf76f155ced4ddcb4097134ff3c332f xmlns="b893e431-d05c-420f-8458-3d9aecb522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6" ma:contentTypeDescription="Create a new document." ma:contentTypeScope="" ma:versionID="76daee0ebf228382b01226fb98f7d98c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a0f8ac06c518a43eb7819212bbaa6084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23480-132D-4ADE-A2CD-EA4D2AAFD718}">
  <ds:schemaRefs>
    <ds:schemaRef ds:uri="http://schemas.microsoft.com/office/2006/metadata/properties"/>
    <ds:schemaRef ds:uri="http://schemas.microsoft.com/office/infopath/2007/PartnerControls"/>
    <ds:schemaRef ds:uri="19324029-e3a4-48cd-a4ff-1c1849582a95"/>
    <ds:schemaRef ds:uri="b893e431-d05c-420f-8458-3d9aecb5222c"/>
  </ds:schemaRefs>
</ds:datastoreItem>
</file>

<file path=customXml/itemProps2.xml><?xml version="1.0" encoding="utf-8"?>
<ds:datastoreItem xmlns:ds="http://schemas.openxmlformats.org/officeDocument/2006/customXml" ds:itemID="{6BC24844-1C32-4BF4-B404-3E3781CDF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32AD5-EDE8-4C39-AD27-9C1E65B9B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Fraser</dc:creator>
  <cp:keywords/>
  <dc:description/>
  <cp:lastModifiedBy>Mario Arigliani</cp:lastModifiedBy>
  <cp:revision>6</cp:revision>
  <cp:lastPrinted>2023-01-29T19:33:00Z</cp:lastPrinted>
  <dcterms:created xsi:type="dcterms:W3CDTF">2023-02-03T13:23:00Z</dcterms:created>
  <dcterms:modified xsi:type="dcterms:W3CDTF">2023-02-17T12:47:00Z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0x010100432B1C90E3612142BE815D24A41BBA1A</vt:lpwstr>
  </property>
  <property fmtid="{D5CDD505-2E9C-101B-9397-08002B2CF9AE}" pid="3" name="MediaServiceImageTags">
    <vt:lpwstr/>
  </property>
</Properties>
</file>