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2B45DB">
      <w:pPr>
        <w:spacing w:before="120" w:after="360"/>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781" w:type="dxa"/>
        <w:tblInd w:w="-3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6095"/>
      </w:tblGrid>
      <w:tr w:rsidR="00583379" w14:paraId="1CFB8A0C" w14:textId="77777777" w:rsidTr="004F6FA7">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6095"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4F6FA7">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6095"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1CFB8A19" w14:textId="77777777" w:rsidR="0085094F" w:rsidRDefault="0085094F" w:rsidP="00E874AF">
      <w:pPr>
        <w:jc w:val="both"/>
        <w:rPr>
          <w:noProof/>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781"/>
      </w:tblGrid>
      <w:tr w:rsidR="00074BE1" w14:paraId="1CFB8A1C" w14:textId="77777777" w:rsidTr="004F6FA7">
        <w:tc>
          <w:tcPr>
            <w:tcW w:w="9781" w:type="dxa"/>
            <w:shd w:val="clear" w:color="auto" w:fill="auto"/>
          </w:tcPr>
          <w:p w14:paraId="1CFB8A1B" w14:textId="076C530E" w:rsidR="00074BE1" w:rsidRDefault="00B51031" w:rsidP="006F5889">
            <w:pPr>
              <w:numPr>
                <w:ilvl w:val="0"/>
                <w:numId w:val="17"/>
              </w:numPr>
              <w:spacing w:after="120"/>
              <w:ind w:left="499" w:hanging="357"/>
              <w:jc w:val="both"/>
              <w:rPr>
                <w:noProof/>
              </w:rPr>
            </w:pPr>
            <w:r>
              <w:t xml:space="preserve">declares </w:t>
            </w:r>
            <w:r w:rsidRPr="00261F7B">
              <w:t xml:space="preserve">that </w:t>
            </w:r>
            <w:r w:rsidRPr="007C431A">
              <w:t>each</w:t>
            </w:r>
            <w:r w:rsidR="006F5889">
              <w:t xml:space="preserve"> entity</w:t>
            </w:r>
            <w:r w:rsidRPr="00493707">
              <w:t xml:space="preserve"> </w:t>
            </w:r>
            <w:r w:rsidR="00074BE1" w:rsidRPr="00493707">
              <w:t xml:space="preserve">is eligible in accordance with the criteria set out in the specific </w:t>
            </w:r>
            <w:r w:rsidR="000104B8">
              <w:t>call for tenders</w:t>
            </w:r>
            <w:r w:rsidR="00074BE1">
              <w:t>;</w:t>
            </w:r>
          </w:p>
        </w:tc>
      </w:tr>
      <w:tr w:rsidR="00074BE1" w14:paraId="1CFB8A1E" w14:textId="77777777" w:rsidTr="004F6FA7">
        <w:tc>
          <w:tcPr>
            <w:tcW w:w="9781" w:type="dxa"/>
            <w:shd w:val="clear" w:color="auto" w:fill="auto"/>
          </w:tcPr>
          <w:p w14:paraId="1CFB8A1D" w14:textId="7C9F1BAD" w:rsidR="00074BE1" w:rsidRDefault="00B51031" w:rsidP="006F5889">
            <w:pPr>
              <w:numPr>
                <w:ilvl w:val="0"/>
                <w:numId w:val="17"/>
              </w:numPr>
              <w:spacing w:after="120"/>
              <w:ind w:left="499" w:hanging="357"/>
              <w:jc w:val="both"/>
              <w:rPr>
                <w:noProof/>
              </w:rPr>
            </w:pPr>
            <w:r>
              <w:t xml:space="preserve">declares that </w:t>
            </w:r>
            <w:r w:rsidRPr="006F5889">
              <w:t>each</w:t>
            </w:r>
            <w:r w:rsidRPr="00261F7B">
              <w:t xml:space="preserve"> </w:t>
            </w:r>
            <w:r w:rsidR="006F5889">
              <w:t>entity</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operational capacity </w:t>
            </w:r>
            <w:r w:rsidR="00074BE1">
              <w:t xml:space="preserve">as </w:t>
            </w:r>
            <w:r w:rsidR="00074BE1" w:rsidRPr="00493707">
              <w:t xml:space="preserve">set out in the specific </w:t>
            </w:r>
            <w:r w:rsidR="000104B8">
              <w:t>call for tenders</w:t>
            </w:r>
            <w:r w:rsidR="009E5794">
              <w:rPr>
                <w:rStyle w:val="FootnoteReference"/>
              </w:rPr>
              <w:footnoteReference w:id="1"/>
            </w:r>
            <w:r w:rsidR="00074BE1">
              <w:t>;</w:t>
            </w:r>
          </w:p>
        </w:tc>
      </w:tr>
      <w:tr w:rsidR="00053405" w14:paraId="5ABCCC94" w14:textId="77777777" w:rsidTr="004F6FA7">
        <w:tc>
          <w:tcPr>
            <w:tcW w:w="9781" w:type="dxa"/>
            <w:shd w:val="clear" w:color="auto" w:fill="auto"/>
          </w:tcPr>
          <w:p w14:paraId="250F65B0" w14:textId="5CDD136E" w:rsidR="00053405" w:rsidRDefault="00053405" w:rsidP="006F5889">
            <w:pPr>
              <w:numPr>
                <w:ilvl w:val="0"/>
                <w:numId w:val="17"/>
              </w:numPr>
              <w:spacing w:after="120"/>
              <w:ind w:left="499" w:hanging="357"/>
              <w:jc w:val="both"/>
            </w:pPr>
            <w:r>
              <w:t xml:space="preserve">declares </w:t>
            </w:r>
            <w:r w:rsidRPr="00261F7B">
              <w:t xml:space="preserve">that </w:t>
            </w:r>
            <w:r w:rsidRPr="006F5889">
              <w:t>each</w:t>
            </w:r>
            <w:r w:rsidRPr="00261F7B">
              <w:t xml:space="preserve"> </w:t>
            </w:r>
            <w:r w:rsidR="006F5889">
              <w:t>entity</w:t>
            </w:r>
            <w:r>
              <w:t xml:space="preserve"> does not have an established debt to the Union.</w:t>
            </w:r>
          </w:p>
        </w:tc>
      </w:tr>
    </w:tbl>
    <w:p w14:paraId="31E750EC" w14:textId="77777777" w:rsidR="004F6FA7" w:rsidRDefault="004F6FA7" w:rsidP="00E874AF">
      <w:pPr>
        <w:rPr>
          <w:rFonts w:ascii="Times New Roman Bold" w:hAnsi="Times New Roman Bold"/>
          <w:b/>
          <w:bCs/>
          <w:i/>
          <w:smallCaps/>
          <w:noProof/>
          <w:kern w:val="28"/>
          <w:szCs w:val="32"/>
          <w:u w:val="single"/>
        </w:rPr>
      </w:pPr>
    </w:p>
    <w:p w14:paraId="1CFB8A21" w14:textId="39BD6563"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2846A2C6"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e</w:t>
      </w:r>
      <w:r w:rsidR="006F5889">
        <w:rPr>
          <w:noProof/>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C270338" w:rsidR="007E50A9" w:rsidRDefault="007E50A9" w:rsidP="006F5889">
            <w:pPr>
              <w:numPr>
                <w:ilvl w:val="0"/>
                <w:numId w:val="17"/>
              </w:numPr>
              <w:spacing w:before="240" w:after="120"/>
              <w:jc w:val="both"/>
              <w:rPr>
                <w:noProof/>
              </w:rPr>
            </w:pPr>
            <w:r>
              <w:rPr>
                <w:noProof/>
              </w:rPr>
              <w:t xml:space="preserve"> </w:t>
            </w:r>
            <w:r w:rsidRPr="00C475D8">
              <w:rPr>
                <w:noProof/>
              </w:rPr>
              <w:t xml:space="preserve">declares </w:t>
            </w:r>
            <w:r w:rsidRPr="00261F7B">
              <w:rPr>
                <w:noProof/>
              </w:rPr>
              <w:t xml:space="preserve">that </w:t>
            </w:r>
            <w:r w:rsidRPr="006F5889">
              <w:rPr>
                <w:noProof/>
              </w:rPr>
              <w:t>each</w:t>
            </w:r>
            <w:r w:rsidRPr="00261F7B">
              <w:rPr>
                <w:noProof/>
              </w:rPr>
              <w:t xml:space="preserve"> </w:t>
            </w:r>
            <w:r w:rsidR="006F5889">
              <w:rPr>
                <w:noProof/>
              </w:rPr>
              <w:t>entity</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6F5889">
              <w:rPr>
                <w:b/>
                <w:i/>
                <w:noProof/>
                <w:u w:val="single"/>
              </w:rPr>
              <w:t>entity</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lastRenderedPageBreak/>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A2F79E9" w:rsidR="007E50A9" w:rsidRPr="00D92CC0" w:rsidRDefault="007E50A9" w:rsidP="00316E80">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 xml:space="preserve">selection criteria or in the performance of a </w:t>
            </w:r>
            <w:proofErr w:type="gramStart"/>
            <w:r w:rsidRPr="00583379">
              <w:rPr>
                <w:color w:val="000000"/>
              </w:rPr>
              <w:t>contract;</w:t>
            </w:r>
            <w:proofErr w:type="gramEnd"/>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w:t>
            </w:r>
            <w:proofErr w:type="gramStart"/>
            <w:r w:rsidRPr="00583379">
              <w:rPr>
                <w:color w:val="000000"/>
              </w:rPr>
              <w:t>competition;</w:t>
            </w:r>
            <w:proofErr w:type="gramEnd"/>
          </w:p>
          <w:p w14:paraId="1CFB8A2C" w14:textId="77777777" w:rsidR="007E50A9" w:rsidRDefault="007E50A9" w:rsidP="00316E80">
            <w:pPr>
              <w:pStyle w:val="Text1"/>
              <w:spacing w:before="40" w:after="40"/>
              <w:ind w:left="601"/>
              <w:rPr>
                <w:noProof/>
              </w:rPr>
            </w:pPr>
            <w:r w:rsidRPr="00583379">
              <w:rPr>
                <w:color w:val="000000"/>
              </w:rPr>
              <w:t xml:space="preserve">(iii) violating intellectual property </w:t>
            </w:r>
            <w:proofErr w:type="gramStart"/>
            <w:r w:rsidRPr="00583379">
              <w:rPr>
                <w:color w:val="000000"/>
              </w:rPr>
              <w:t>rights;</w:t>
            </w:r>
            <w:proofErr w:type="gramEnd"/>
          </w:p>
          <w:p w14:paraId="1CFB8A2D" w14:textId="1CA5EA94" w:rsidR="007E50A9" w:rsidRDefault="007E50A9" w:rsidP="00316E80">
            <w:pPr>
              <w:pStyle w:val="Text1"/>
              <w:spacing w:before="40" w:after="40"/>
              <w:ind w:left="601"/>
              <w:rPr>
                <w:noProof/>
              </w:rPr>
            </w:pPr>
            <w:r w:rsidRPr="00583379">
              <w:rPr>
                <w:color w:val="000000"/>
              </w:rPr>
              <w:t xml:space="preserve">(iv) attempting to influence the decision-making process of </w:t>
            </w:r>
            <w:proofErr w:type="spellStart"/>
            <w:r w:rsidR="009A798B">
              <w:rPr>
                <w:color w:val="000000"/>
              </w:rPr>
              <w:t>Stichting</w:t>
            </w:r>
            <w:proofErr w:type="spellEnd"/>
            <w:r w:rsidR="009A798B">
              <w:rPr>
                <w:color w:val="000000"/>
              </w:rPr>
              <w:t xml:space="preserve"> PROSAFE</w:t>
            </w:r>
            <w:r>
              <w:rPr>
                <w:color w:val="000000"/>
              </w:rPr>
              <w:t xml:space="preserve"> </w:t>
            </w:r>
            <w:r w:rsidRPr="00583379">
              <w:rPr>
                <w:color w:val="000000"/>
              </w:rPr>
              <w:t xml:space="preserve">during the award </w:t>
            </w:r>
            <w:proofErr w:type="gramStart"/>
            <w:r w:rsidRPr="00583379">
              <w:rPr>
                <w:color w:val="000000"/>
              </w:rPr>
              <w:t>procedure;</w:t>
            </w:r>
            <w:proofErr w:type="gramEnd"/>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 xml:space="preserve">applicable </w:t>
            </w:r>
            <w:proofErr w:type="gramStart"/>
            <w:r w:rsidR="00C25FCF">
              <w:rPr>
                <w:color w:val="000000"/>
              </w:rPr>
              <w:t>law</w:t>
            </w:r>
            <w:r w:rsidR="006670E6">
              <w:rPr>
                <w:color w:val="000000"/>
              </w:rPr>
              <w:t>s</w:t>
            </w:r>
            <w:r w:rsidRPr="00583379">
              <w:rPr>
                <w:color w:val="000000"/>
              </w:rPr>
              <w:t>;</w:t>
            </w:r>
            <w:bookmarkEnd w:id="3"/>
            <w:proofErr w:type="gramEnd"/>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D917A7">
              <w:rPr>
                <w:color w:val="000000"/>
              </w:rPr>
              <w:t>terrorism;</w:t>
            </w:r>
            <w:proofErr w:type="gramEnd"/>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1EBE4401"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w:t>
            </w:r>
            <w:r w:rsidR="006F5889">
              <w:rPr>
                <w:color w:val="000000"/>
              </w:rPr>
              <w:t>entity</w:t>
            </w:r>
            <w:r w:rsidRPr="00EF2BEC">
              <w:rPr>
                <w:color w:val="000000"/>
              </w:rPr>
              <w:t xml:space="preserve"> has created an entity </w:t>
            </w:r>
            <w:r w:rsidR="00D917A7">
              <w:rPr>
                <w:color w:val="000000"/>
              </w:rPr>
              <w:t>in</w:t>
            </w:r>
            <w:r w:rsidR="00D917A7" w:rsidRPr="00EF2BEC">
              <w:rPr>
                <w:color w:val="000000"/>
              </w:rPr>
              <w:t xml:space="preserve"> </w:t>
            </w:r>
            <w:r w:rsidRPr="00EF2BEC">
              <w:rPr>
                <w:color w:val="000000"/>
              </w:rPr>
              <w:t xml:space="preserve">a different jurisdiction with the intent to circumvent fiscal, social or any other legal obligations of mandatory application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r>
              <w:rPr>
                <w:color w:val="000000"/>
              </w:rPr>
              <w:t>;</w:t>
            </w:r>
          </w:p>
        </w:tc>
      </w:tr>
      <w:tr w:rsidR="00EB4B28" w14:paraId="1785A208" w14:textId="77777777" w:rsidTr="00222BEE">
        <w:tc>
          <w:tcPr>
            <w:tcW w:w="9782" w:type="dxa"/>
            <w:shd w:val="clear" w:color="auto" w:fill="auto"/>
          </w:tcPr>
          <w:p w14:paraId="446CA869" w14:textId="25189F2A" w:rsidR="00EB4B28" w:rsidRPr="00EF2BEC" w:rsidRDefault="00EB4B28" w:rsidP="00A55B83">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F5889">
              <w:rPr>
                <w:color w:val="000000"/>
              </w:rPr>
              <w:t>entity</w:t>
            </w:r>
            <w:r>
              <w:rPr>
                <w:color w:val="000000"/>
              </w:rPr>
              <w:t xml:space="preserve">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7C6B9051"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xml:space="preserve">) (h) above, in the absence of a final judgement or a final administrative decision, the </w:t>
            </w:r>
            <w:r w:rsidR="006F5889">
              <w:rPr>
                <w:noProof/>
              </w:rPr>
              <w:t>entity</w:t>
            </w:r>
            <w:r w:rsidRPr="004C25AF">
              <w:rPr>
                <w:noProof/>
              </w:rPr>
              <w:t xml:space="preserve"> is</w:t>
            </w:r>
            <w:r>
              <w:rPr>
                <w:rStyle w:val="FootnoteReference"/>
                <w:noProof/>
              </w:rPr>
              <w:footnoteReference w:id="2"/>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 xml:space="preserve">of an EU institution, of a European office or of an EU agency or </w:t>
            </w:r>
            <w:proofErr w:type="gramStart"/>
            <w:r w:rsidR="007E50A9" w:rsidRPr="00BF215D">
              <w:rPr>
                <w:color w:val="000000"/>
              </w:rPr>
              <w:t>body</w:t>
            </w:r>
            <w:r w:rsidR="007E50A9" w:rsidRPr="009262CA">
              <w:rPr>
                <w:color w:val="000000"/>
              </w:rPr>
              <w:t>;</w:t>
            </w:r>
            <w:proofErr w:type="gramEnd"/>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7E50A9" w:rsidRPr="009262CA">
              <w:rPr>
                <w:color w:val="000000"/>
              </w:rPr>
              <w:t>ethics;</w:t>
            </w:r>
            <w:proofErr w:type="gramEnd"/>
            <w:r w:rsidR="007E50A9" w:rsidRPr="009262CA">
              <w:rPr>
                <w:color w:val="000000"/>
              </w:rPr>
              <w:t xml:space="preserve">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w:t>
            </w:r>
            <w:proofErr w:type="gramStart"/>
            <w:r w:rsidR="00EB4B28">
              <w:rPr>
                <w:color w:val="000000"/>
              </w:rPr>
              <w:t>tasks</w:t>
            </w:r>
            <w:r w:rsidR="007E50A9" w:rsidRPr="009262CA">
              <w:rPr>
                <w:color w:val="000000"/>
              </w:rPr>
              <w:t>;</w:t>
            </w:r>
            <w:proofErr w:type="gramEnd"/>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information transmitted by Member States implementing Union </w:t>
            </w:r>
            <w:proofErr w:type="gramStart"/>
            <w:r w:rsidR="00EB4B28">
              <w:rPr>
                <w:color w:val="000000"/>
              </w:rPr>
              <w:t>funds;</w:t>
            </w:r>
            <w:proofErr w:type="gramEnd"/>
          </w:p>
          <w:p w14:paraId="1CFB8A46" w14:textId="5BFC383E"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w:t>
            </w:r>
            <w:proofErr w:type="spellStart"/>
            <w:r w:rsidR="009A798B">
              <w:rPr>
                <w:color w:val="000000"/>
              </w:rPr>
              <w:t>Stichting</w:t>
            </w:r>
            <w:proofErr w:type="spellEnd"/>
            <w:r w:rsidR="009A798B">
              <w:rPr>
                <w:color w:val="000000"/>
              </w:rPr>
              <w:t xml:space="preserve"> PROSAFE</w:t>
            </w:r>
            <w:r w:rsidR="007E50A9" w:rsidRPr="009262CA">
              <w:rPr>
                <w:color w:val="000000"/>
              </w:rPr>
              <w:t xml:space="preserve"> relating to the infringement of Union competition </w:t>
            </w:r>
            <w:r w:rsidR="00DE0C79">
              <w:rPr>
                <w:color w:val="000000"/>
              </w:rPr>
              <w:t>law</w:t>
            </w:r>
            <w:r w:rsidR="00DE0C79" w:rsidRPr="009262CA">
              <w:rPr>
                <w:color w:val="000000"/>
              </w:rPr>
              <w:t xml:space="preserve"> </w:t>
            </w:r>
            <w:r w:rsidR="007E50A9" w:rsidRPr="009262CA">
              <w:rPr>
                <w:color w:val="000000"/>
              </w:rPr>
              <w:t xml:space="preserve">or of a national competent authority relating to the infringement of Union or national competition </w:t>
            </w:r>
            <w:proofErr w:type="gramStart"/>
            <w:r w:rsidR="007E50A9" w:rsidRPr="009262CA">
              <w:rPr>
                <w:color w:val="000000"/>
              </w:rPr>
              <w:t>law</w:t>
            </w:r>
            <w:r w:rsidR="00F66B6B">
              <w:rPr>
                <w:color w:val="000000"/>
              </w:rPr>
              <w:t>;</w:t>
            </w:r>
            <w:proofErr w:type="gramEnd"/>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6F079B3C"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w:t>
      </w:r>
      <w:r w:rsidR="008451D5">
        <w:t>contract</w:t>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11B1DA12" w:rsidR="008E0F00" w:rsidRPr="006B4EBC" w:rsidRDefault="008E0F00" w:rsidP="006F5889">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451D5">
              <w:rPr>
                <w:noProof/>
              </w:rPr>
              <w:t>contract</w:t>
            </w:r>
            <w:r w:rsidRPr="006B4EBC">
              <w:rPr>
                <w:noProof/>
              </w:rPr>
              <w:t xml:space="preserve">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w:t>
      </w:r>
      <w:proofErr w:type="gramStart"/>
      <w:r w:rsidRPr="004D49FF">
        <w:t>decision-making</w:t>
      </w:r>
      <w:proofErr w:type="gramEnd"/>
      <w:r w:rsidRPr="004D49FF">
        <w:t xml:space="preserve">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lastRenderedPageBreak/>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55383E8A"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261F7B">
              <w:rPr>
                <w:noProof/>
              </w:rPr>
              <w:t xml:space="preserve">the </w:t>
            </w:r>
            <w:r w:rsidR="00A8555A" w:rsidRPr="007C431A">
              <w:rPr>
                <w:noProof/>
              </w:rPr>
              <w:t>each</w:t>
            </w:r>
            <w:r w:rsidR="00A8555A" w:rsidRPr="00261F7B">
              <w:rPr>
                <w:noProof/>
              </w:rPr>
              <w:t xml:space="preserve"> </w:t>
            </w:r>
            <w:r w:rsidR="006F5889">
              <w:rPr>
                <w:noProof/>
              </w:rPr>
              <w:t>entity</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lastRenderedPageBreak/>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proofErr w:type="gramStart"/>
      <w:r w:rsidR="00A83195">
        <w:rPr>
          <w:color w:val="000000"/>
        </w:rPr>
        <w:t>in order to</w:t>
      </w:r>
      <w:proofErr w:type="gramEnd"/>
      <w:r w:rsidR="00A83195">
        <w:rPr>
          <w:color w:val="000000"/>
        </w:rPr>
        <w:t xml:space="preserve">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1C940575" w:rsidR="008D4EFB" w:rsidRDefault="008F41A1" w:rsidP="008D4EFB">
      <w:pPr>
        <w:spacing w:before="120" w:after="120"/>
        <w:ind w:firstLine="11"/>
        <w:jc w:val="both"/>
        <w:rPr>
          <w:noProof/>
        </w:rPr>
      </w:pPr>
      <w:r>
        <w:rPr>
          <w:noProof/>
        </w:rPr>
        <w:t xml:space="preserve">Stichting PROSAFE </w:t>
      </w:r>
      <w:r w:rsidR="00DF65EC" w:rsidRPr="00AD0164">
        <w:rPr>
          <w:noProof/>
        </w:rPr>
        <w:t>may request</w:t>
      </w:r>
      <w:r w:rsidR="00B84C49" w:rsidRPr="00AD0164">
        <w:rPr>
          <w:noProof/>
        </w:rPr>
        <w:t xml:space="preserve"> </w:t>
      </w:r>
      <w:r w:rsidR="00DF65EC" w:rsidRPr="00AD0164">
        <w:rPr>
          <w:noProof/>
        </w:rPr>
        <w:t xml:space="preserve">any </w:t>
      </w:r>
      <w:r w:rsidR="00833431" w:rsidRPr="00AD0164">
        <w:rPr>
          <w:noProof/>
        </w:rPr>
        <w:t xml:space="preserve">person </w:t>
      </w:r>
      <w:r w:rsidR="00DF65EC" w:rsidRPr="00AD0164">
        <w:rPr>
          <w:noProof/>
        </w:rPr>
        <w:t>subject to this declaration</w:t>
      </w:r>
      <w:r w:rsidR="007A334D" w:rsidRPr="00AD0164">
        <w:rPr>
          <w:noProof/>
        </w:rPr>
        <w:t xml:space="preserve"> </w:t>
      </w:r>
      <w:r w:rsidR="00DF65EC"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w:t>
      </w:r>
      <w:r w:rsidR="008451D5">
        <w:rPr>
          <w:noProof/>
          <w:u w:val="single"/>
        </w:rPr>
        <w:t xml:space="preserve"> contract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3DD8C8FD" w:rsidR="00475DDD" w:rsidRPr="00AD0164" w:rsidRDefault="008F41A1" w:rsidP="00E874AF">
      <w:pPr>
        <w:spacing w:before="120" w:after="120"/>
        <w:ind w:firstLine="11"/>
        <w:jc w:val="both"/>
        <w:rPr>
          <w:noProof/>
        </w:rPr>
      </w:pPr>
      <w:r>
        <w:rPr>
          <w:noProof/>
        </w:rPr>
        <w:t xml:space="preserve">Stichting PROSAFE </w:t>
      </w:r>
      <w:r w:rsidR="00A17388" w:rsidRPr="00AD0164">
        <w:rPr>
          <w:noProof/>
        </w:rPr>
        <w:t xml:space="preserve">may request any </w:t>
      </w:r>
      <w:r w:rsidR="002B7DD8" w:rsidRPr="00AD0164">
        <w:rPr>
          <w:noProof/>
        </w:rPr>
        <w:t xml:space="preserve">person </w:t>
      </w:r>
      <w:r w:rsidR="00A17388" w:rsidRPr="00AD0164">
        <w:rPr>
          <w:noProof/>
        </w:rPr>
        <w:t>subject to this declaration to</w:t>
      </w:r>
      <w:r w:rsidR="00A17388"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4A2C3050"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007C431A">
        <w:rPr>
          <w:noProof/>
        </w:rPr>
        <w:t xml:space="preserve">(b), </w:t>
      </w:r>
      <w:r w:rsidRPr="00AD0164">
        <w:rPr>
          <w:noProof/>
        </w:rPr>
        <w:t xml:space="preserve">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59846C07" w14:textId="73703B59" w:rsidR="00352E2A" w:rsidRPr="008F0AC8" w:rsidRDefault="00352E2A" w:rsidP="00352E2A">
      <w:pPr>
        <w:spacing w:before="100" w:beforeAutospacing="1" w:after="100" w:afterAutospacing="1"/>
        <w:jc w:val="both"/>
        <w:rPr>
          <w:b/>
          <w:noProof/>
        </w:rPr>
      </w:pPr>
      <w:r w:rsidRPr="008F0AC8">
        <w:rPr>
          <w:b/>
          <w:noProof/>
        </w:rPr>
        <w:t>The person</w:t>
      </w:r>
      <w:r w:rsidR="007C431A">
        <w:rPr>
          <w:b/>
          <w:noProof/>
        </w:rPr>
        <w:t>/entity</w:t>
      </w:r>
      <w:r w:rsidRPr="008F0AC8">
        <w:rPr>
          <w:b/>
          <w:noProof/>
        </w:rPr>
        <w:t xml:space="preserve"> must immediately </w:t>
      </w:r>
      <w:r w:rsidRPr="00261F7B">
        <w:rPr>
          <w:b/>
          <w:noProof/>
        </w:rPr>
        <w:t xml:space="preserve">inform </w:t>
      </w:r>
      <w:r w:rsidR="009A798B">
        <w:rPr>
          <w:b/>
          <w:noProof/>
        </w:rPr>
        <w:t>Stichting PROSAFE</w:t>
      </w:r>
      <w:r w:rsidR="00261F7B" w:rsidRPr="00261F7B">
        <w:rPr>
          <w:b/>
          <w:noProof/>
        </w:rPr>
        <w:t xml:space="preserve"> </w:t>
      </w:r>
      <w:r w:rsidRPr="00261F7B">
        <w:rPr>
          <w:b/>
          <w:noProof/>
        </w:rPr>
        <w:t>of any changes in the situations as declared.</w:t>
      </w:r>
    </w:p>
    <w:p w14:paraId="1CFB8A67" w14:textId="4A5FB8B4"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7C431A">
        <w:rPr>
          <w:b/>
          <w:noProof/>
        </w:rPr>
        <w:t>/entity</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6529A38C" w14:textId="77777777" w:rsidR="00261F7B" w:rsidRDefault="00261F7B" w:rsidP="005E3354">
      <w:pPr>
        <w:rPr>
          <w:i/>
          <w:iCs/>
        </w:rPr>
      </w:pPr>
    </w:p>
    <w:p w14:paraId="0CB3950F" w14:textId="77777777" w:rsidR="00261F7B" w:rsidRDefault="00261F7B" w:rsidP="005E3354">
      <w:pPr>
        <w:rPr>
          <w:i/>
          <w:iCs/>
        </w:rPr>
      </w:pPr>
    </w:p>
    <w:p w14:paraId="0FEC4557" w14:textId="77777777" w:rsidR="003C00D3" w:rsidRDefault="003C00D3" w:rsidP="005E3354">
      <w:pPr>
        <w:rPr>
          <w:i/>
          <w:iCs/>
        </w:rPr>
      </w:pPr>
    </w:p>
    <w:p w14:paraId="2FD0EE77" w14:textId="77777777" w:rsidR="003C00D3" w:rsidRDefault="003C00D3" w:rsidP="005E3354">
      <w:pPr>
        <w:rPr>
          <w:i/>
          <w:iCs/>
        </w:rPr>
      </w:pPr>
    </w:p>
    <w:p w14:paraId="5FB0B80E" w14:textId="77777777" w:rsidR="003C00D3" w:rsidRDefault="003C00D3" w:rsidP="005E3354">
      <w:pPr>
        <w:rPr>
          <w:i/>
          <w:iCs/>
        </w:rPr>
      </w:pPr>
    </w:p>
    <w:p w14:paraId="0B28207F" w14:textId="77777777" w:rsidR="003C00D3" w:rsidRDefault="003C00D3" w:rsidP="005E3354">
      <w:pPr>
        <w:rPr>
          <w:i/>
          <w:iCs/>
        </w:rPr>
      </w:pPr>
    </w:p>
    <w:p w14:paraId="6B8EBEBA" w14:textId="77777777" w:rsidR="003C00D3" w:rsidRDefault="003C00D3" w:rsidP="005E3354">
      <w:pPr>
        <w:rPr>
          <w:i/>
          <w:iCs/>
        </w:rPr>
      </w:pPr>
    </w:p>
    <w:p w14:paraId="1C57E9A7" w14:textId="77777777" w:rsidR="003C00D3" w:rsidRDefault="003C00D3" w:rsidP="005E3354">
      <w:pPr>
        <w:rPr>
          <w:i/>
          <w:iCs/>
        </w:rPr>
      </w:pPr>
    </w:p>
    <w:p w14:paraId="674C099B" w14:textId="77777777" w:rsidR="00261F7B" w:rsidRDefault="00261F7B" w:rsidP="005E3354">
      <w:pPr>
        <w:rPr>
          <w:i/>
          <w:iCs/>
        </w:rPr>
      </w:pPr>
    </w:p>
    <w:p w14:paraId="2DB9645E" w14:textId="5BF87FCF" w:rsidR="005E3354" w:rsidRPr="000808B7" w:rsidRDefault="005E3354" w:rsidP="005E3354">
      <w:pPr>
        <w:rPr>
          <w:i/>
          <w:iCs/>
        </w:rPr>
      </w:pPr>
      <w:r w:rsidRPr="00897E28">
        <w:rPr>
          <w:i/>
          <w:iCs/>
        </w:rPr>
        <w:lastRenderedPageBreak/>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w:t>
      </w:r>
      <w:proofErr w:type="gramStart"/>
      <w:r w:rsidRPr="00897E28">
        <w:rPr>
          <w:i/>
          <w:iCs/>
        </w:rPr>
        <w:t>in order to</w:t>
      </w:r>
      <w:proofErr w:type="gramEnd"/>
      <w:r w:rsidRPr="00897E28">
        <w:rPr>
          <w:i/>
          <w:iCs/>
        </w:rPr>
        <w:t xml:space="preserve">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CE82" w14:textId="77777777" w:rsidR="00BC7550" w:rsidRDefault="00BC7550">
      <w:r>
        <w:separator/>
      </w:r>
    </w:p>
  </w:endnote>
  <w:endnote w:type="continuationSeparator" w:id="0">
    <w:p w14:paraId="472E4FEB" w14:textId="77777777" w:rsidR="00BC7550" w:rsidRDefault="00B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E9A4" w14:textId="77777777" w:rsidR="00BC7550" w:rsidRDefault="00BC7550">
      <w:r>
        <w:separator/>
      </w:r>
    </w:p>
  </w:footnote>
  <w:footnote w:type="continuationSeparator" w:id="0">
    <w:p w14:paraId="5DFD50E2" w14:textId="77777777" w:rsidR="00BC7550" w:rsidRDefault="00BC7550">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92115409">
    <w:abstractNumId w:val="25"/>
  </w:num>
  <w:num w:numId="2" w16cid:durableId="46608850">
    <w:abstractNumId w:val="0"/>
  </w:num>
  <w:num w:numId="3" w16cid:durableId="1606811835">
    <w:abstractNumId w:val="18"/>
  </w:num>
  <w:num w:numId="4" w16cid:durableId="409469514">
    <w:abstractNumId w:val="5"/>
  </w:num>
  <w:num w:numId="5" w16cid:durableId="59980569">
    <w:abstractNumId w:val="16"/>
  </w:num>
  <w:num w:numId="6" w16cid:durableId="1434937957">
    <w:abstractNumId w:val="12"/>
  </w:num>
  <w:num w:numId="7" w16cid:durableId="1174957783">
    <w:abstractNumId w:val="31"/>
  </w:num>
  <w:num w:numId="8" w16cid:durableId="957637542">
    <w:abstractNumId w:val="17"/>
  </w:num>
  <w:num w:numId="9" w16cid:durableId="604963948">
    <w:abstractNumId w:val="10"/>
  </w:num>
  <w:num w:numId="10" w16cid:durableId="1231303510">
    <w:abstractNumId w:val="8"/>
  </w:num>
  <w:num w:numId="11" w16cid:durableId="131169738">
    <w:abstractNumId w:val="2"/>
  </w:num>
  <w:num w:numId="12" w16cid:durableId="1357803575">
    <w:abstractNumId w:val="24"/>
  </w:num>
  <w:num w:numId="13" w16cid:durableId="554858298">
    <w:abstractNumId w:val="29"/>
  </w:num>
  <w:num w:numId="14" w16cid:durableId="1203134052">
    <w:abstractNumId w:val="22"/>
  </w:num>
  <w:num w:numId="15" w16cid:durableId="2064940795">
    <w:abstractNumId w:val="9"/>
  </w:num>
  <w:num w:numId="16" w16cid:durableId="109858683">
    <w:abstractNumId w:val="23"/>
  </w:num>
  <w:num w:numId="17" w16cid:durableId="1153912026">
    <w:abstractNumId w:val="11"/>
  </w:num>
  <w:num w:numId="18" w16cid:durableId="1122043304">
    <w:abstractNumId w:val="1"/>
  </w:num>
  <w:num w:numId="19" w16cid:durableId="25716525">
    <w:abstractNumId w:val="4"/>
  </w:num>
  <w:num w:numId="20" w16cid:durableId="18119251">
    <w:abstractNumId w:val="20"/>
  </w:num>
  <w:num w:numId="21" w16cid:durableId="1974745385">
    <w:abstractNumId w:val="28"/>
  </w:num>
  <w:num w:numId="22" w16cid:durableId="1045714584">
    <w:abstractNumId w:val="15"/>
  </w:num>
  <w:num w:numId="23" w16cid:durableId="415833764">
    <w:abstractNumId w:val="26"/>
  </w:num>
  <w:num w:numId="24" w16cid:durableId="1675261925">
    <w:abstractNumId w:val="13"/>
  </w:num>
  <w:num w:numId="25" w16cid:durableId="1647710159">
    <w:abstractNumId w:val="3"/>
  </w:num>
  <w:num w:numId="26" w16cid:durableId="1298610813">
    <w:abstractNumId w:val="6"/>
  </w:num>
  <w:num w:numId="27" w16cid:durableId="1368484940">
    <w:abstractNumId w:val="14"/>
  </w:num>
  <w:num w:numId="28" w16cid:durableId="367460496">
    <w:abstractNumId w:val="30"/>
  </w:num>
  <w:num w:numId="29" w16cid:durableId="677388768">
    <w:abstractNumId w:val="7"/>
  </w:num>
  <w:num w:numId="30" w16cid:durableId="527573442">
    <w:abstractNumId w:val="27"/>
  </w:num>
  <w:num w:numId="31" w16cid:durableId="1671328095">
    <w:abstractNumId w:val="19"/>
  </w:num>
  <w:num w:numId="32" w16cid:durableId="1111321666">
    <w:abstractNumId w:val="21"/>
  </w:num>
  <w:num w:numId="33" w16cid:durableId="1277370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04B8"/>
    <w:rsid w:val="00014FD9"/>
    <w:rsid w:val="00021DA6"/>
    <w:rsid w:val="00026850"/>
    <w:rsid w:val="00053405"/>
    <w:rsid w:val="00055F7F"/>
    <w:rsid w:val="00060716"/>
    <w:rsid w:val="00064BE7"/>
    <w:rsid w:val="00071407"/>
    <w:rsid w:val="00074BE1"/>
    <w:rsid w:val="000754E9"/>
    <w:rsid w:val="000804EF"/>
    <w:rsid w:val="00081782"/>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00D3"/>
    <w:rsid w:val="003C6A7E"/>
    <w:rsid w:val="003D00A1"/>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975CD"/>
    <w:rsid w:val="004A4B4A"/>
    <w:rsid w:val="004B1983"/>
    <w:rsid w:val="004C04D6"/>
    <w:rsid w:val="004C0745"/>
    <w:rsid w:val="004C25AF"/>
    <w:rsid w:val="004C693E"/>
    <w:rsid w:val="004D4F4A"/>
    <w:rsid w:val="004D4F81"/>
    <w:rsid w:val="004E6BFA"/>
    <w:rsid w:val="004F6FA7"/>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8" ma:contentTypeDescription="Create a new document." ma:contentTypeScope="" ma:versionID="224992652531a1c4762e48305301d94f">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28285f2e43ccf772e2f06c657f74573"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64E0F8-E95F-4F5E-A0C5-C4EBB5C4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09c8edfa-0c89-4db5-84aa-c604a671fbfe"/>
    <ds:schemaRef ds:uri="19324029-e3a4-48cd-a4ff-1c1849582a95"/>
    <ds:schemaRef ds:uri="b893e431-d05c-420f-8458-3d9aecb5222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Dr Kyriakos Papazoglou</cp:lastModifiedBy>
  <cp:revision>10</cp:revision>
  <cp:lastPrinted>2018-07-20T08:10:00Z</cp:lastPrinted>
  <dcterms:created xsi:type="dcterms:W3CDTF">2021-06-30T13:10:00Z</dcterms:created>
  <dcterms:modified xsi:type="dcterms:W3CDTF">2024-01-30T08:44:00Z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0x010100432B1C90E3612142BE815D24A41BBA1A</vt:lpwstr>
  </property>
  <property fmtid="{D5CDD505-2E9C-101B-9397-08002B2CF9AE}" pid="4" name="MediaServiceImageTags">
    <vt:lpwstr/>
  </property>
</Properties>
</file>