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5" w14:textId="77777777" w:rsidR="00DA410F" w:rsidRDefault="00DA410F" w:rsidP="002B45DB">
      <w:pPr>
        <w:spacing w:before="120" w:after="360"/>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076C530E" w:rsidR="00074BE1" w:rsidRDefault="00B51031" w:rsidP="006F5889">
            <w:pPr>
              <w:numPr>
                <w:ilvl w:val="0"/>
                <w:numId w:val="17"/>
              </w:numPr>
              <w:spacing w:after="120"/>
              <w:ind w:left="499" w:hanging="357"/>
              <w:jc w:val="both"/>
              <w:rPr>
                <w:noProof/>
              </w:rPr>
            </w:pPr>
            <w:r>
              <w:t xml:space="preserve">declares </w:t>
            </w:r>
            <w:r w:rsidRPr="00261F7B">
              <w:t xml:space="preserve">that </w:t>
            </w:r>
            <w:r w:rsidRPr="007C431A">
              <w:t>each</w:t>
            </w:r>
            <w:r w:rsidR="006F5889">
              <w:t xml:space="preserve"> entity</w:t>
            </w:r>
            <w:r w:rsidRPr="00493707">
              <w:t xml:space="preserve"> </w:t>
            </w:r>
            <w:r w:rsidR="00074BE1" w:rsidRPr="00493707">
              <w:t xml:space="preserve">is eligible in accordance with the criteria set out in the specific </w:t>
            </w:r>
            <w:r w:rsidR="000104B8">
              <w:t>call for tenders</w:t>
            </w:r>
            <w:r w:rsidR="00074BE1">
              <w:t>;</w:t>
            </w:r>
          </w:p>
        </w:tc>
      </w:tr>
      <w:tr w:rsidR="00074BE1" w14:paraId="1CFB8A1E" w14:textId="77777777" w:rsidTr="00E874AF">
        <w:tc>
          <w:tcPr>
            <w:tcW w:w="9639" w:type="dxa"/>
            <w:shd w:val="clear" w:color="auto" w:fill="auto"/>
          </w:tcPr>
          <w:p w14:paraId="1CFB8A1D" w14:textId="7C9F1BAD" w:rsidR="00074BE1" w:rsidRDefault="00B51031" w:rsidP="006F5889">
            <w:pPr>
              <w:numPr>
                <w:ilvl w:val="0"/>
                <w:numId w:val="17"/>
              </w:numPr>
              <w:spacing w:after="120"/>
              <w:ind w:left="499" w:hanging="357"/>
              <w:jc w:val="both"/>
              <w:rPr>
                <w:noProof/>
              </w:rPr>
            </w:pPr>
            <w:r>
              <w:t xml:space="preserve">declares that </w:t>
            </w:r>
            <w:r w:rsidRPr="006F5889">
              <w:t>each</w:t>
            </w:r>
            <w:r w:rsidRPr="00261F7B">
              <w:t xml:space="preserve"> </w:t>
            </w:r>
            <w:r w:rsidR="006F5889">
              <w:t>entity</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operational capacity </w:t>
            </w:r>
            <w:r w:rsidR="00074BE1">
              <w:t xml:space="preserve">as </w:t>
            </w:r>
            <w:r w:rsidR="00074BE1" w:rsidRPr="00493707">
              <w:t xml:space="preserve">set out in the specific </w:t>
            </w:r>
            <w:r w:rsidR="000104B8">
              <w:t>call for tenders</w:t>
            </w:r>
            <w:r w:rsidR="009E5794">
              <w:rPr>
                <w:rStyle w:val="FootnoteReference"/>
              </w:rPr>
              <w:footnoteReference w:id="1"/>
            </w:r>
            <w:r w:rsidR="00074BE1">
              <w:t>;</w:t>
            </w:r>
          </w:p>
        </w:tc>
      </w:tr>
      <w:tr w:rsidR="00053405" w14:paraId="5ABCCC94" w14:textId="77777777" w:rsidTr="00E874AF">
        <w:tc>
          <w:tcPr>
            <w:tcW w:w="9639" w:type="dxa"/>
            <w:shd w:val="clear" w:color="auto" w:fill="auto"/>
          </w:tcPr>
          <w:p w14:paraId="250F65B0" w14:textId="5CDD136E" w:rsidR="00053405" w:rsidRDefault="00053405" w:rsidP="006F5889">
            <w:pPr>
              <w:numPr>
                <w:ilvl w:val="0"/>
                <w:numId w:val="17"/>
              </w:numPr>
              <w:spacing w:after="120"/>
              <w:ind w:left="499" w:hanging="357"/>
              <w:jc w:val="both"/>
            </w:pPr>
            <w:r>
              <w:t xml:space="preserve">declares </w:t>
            </w:r>
            <w:r w:rsidRPr="00261F7B">
              <w:t xml:space="preserve">that </w:t>
            </w:r>
            <w:r w:rsidRPr="006F5889">
              <w:t>each</w:t>
            </w:r>
            <w:r w:rsidRPr="00261F7B">
              <w:t xml:space="preserve"> </w:t>
            </w:r>
            <w:r w:rsidR="006F5889">
              <w:t>entity</w:t>
            </w:r>
            <w:r>
              <w:t xml:space="preserve">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2846A2C6"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e</w:t>
      </w:r>
      <w:r w:rsidR="006F5889">
        <w:rPr>
          <w:noProof/>
        </w:rPr>
        <w:t>ntity</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4C270338" w:rsidR="007E50A9" w:rsidRDefault="007E50A9" w:rsidP="006F5889">
            <w:pPr>
              <w:numPr>
                <w:ilvl w:val="0"/>
                <w:numId w:val="17"/>
              </w:numPr>
              <w:spacing w:before="240" w:after="120"/>
              <w:jc w:val="both"/>
              <w:rPr>
                <w:noProof/>
              </w:rPr>
            </w:pPr>
            <w:r>
              <w:rPr>
                <w:noProof/>
              </w:rPr>
              <w:t xml:space="preserve"> </w:t>
            </w:r>
            <w:r w:rsidRPr="00C475D8">
              <w:rPr>
                <w:noProof/>
              </w:rPr>
              <w:t xml:space="preserve">declares </w:t>
            </w:r>
            <w:r w:rsidRPr="00261F7B">
              <w:rPr>
                <w:noProof/>
              </w:rPr>
              <w:t xml:space="preserve">that </w:t>
            </w:r>
            <w:r w:rsidRPr="006F5889">
              <w:rPr>
                <w:noProof/>
              </w:rPr>
              <w:t>each</w:t>
            </w:r>
            <w:r w:rsidRPr="00261F7B">
              <w:rPr>
                <w:noProof/>
              </w:rPr>
              <w:t xml:space="preserve"> </w:t>
            </w:r>
            <w:r w:rsidR="006F5889">
              <w:rPr>
                <w:noProof/>
              </w:rPr>
              <w:t>entity</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6F5889">
              <w:rPr>
                <w:b/>
                <w:i/>
                <w:noProof/>
                <w:u w:val="single"/>
              </w:rPr>
              <w:t>entity</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lastRenderedPageBreak/>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A2F79E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1CA5EA94" w:rsidR="007E50A9" w:rsidRDefault="007E50A9" w:rsidP="00316E80">
            <w:pPr>
              <w:pStyle w:val="Text1"/>
              <w:spacing w:before="40" w:after="40"/>
              <w:ind w:left="601"/>
              <w:rPr>
                <w:noProof/>
              </w:rPr>
            </w:pPr>
            <w:r w:rsidRPr="00583379">
              <w:rPr>
                <w:color w:val="000000"/>
              </w:rPr>
              <w:t xml:space="preserve">(iv) attempting to influence the decision-making process of </w:t>
            </w:r>
            <w:r w:rsidR="009A798B">
              <w:rPr>
                <w:color w:val="000000"/>
              </w:rPr>
              <w:t>Stichting PROSAFE</w:t>
            </w:r>
            <w:r>
              <w:rPr>
                <w:color w:val="000000"/>
              </w:rPr>
              <w:t xml:space="preserve">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applicable law</w:t>
            </w:r>
            <w:r w:rsidR="006670E6">
              <w:rPr>
                <w:color w:val="000000"/>
              </w:rPr>
              <w:t>s</w:t>
            </w:r>
            <w:r w:rsidRPr="00583379">
              <w:rPr>
                <w:color w:val="000000"/>
              </w:rPr>
              <w:t>;</w:t>
            </w:r>
            <w:bookmarkEnd w:id="3"/>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1EBE4401"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w:t>
            </w:r>
            <w:r w:rsidR="006F5889">
              <w:rPr>
                <w:color w:val="000000"/>
              </w:rPr>
              <w:t>entity</w:t>
            </w:r>
            <w:r w:rsidRPr="00EF2BEC">
              <w:rPr>
                <w:color w:val="000000"/>
              </w:rPr>
              <w:t xml:space="preserve"> has created an entity </w:t>
            </w:r>
            <w:r w:rsidR="00D917A7">
              <w:rPr>
                <w:color w:val="000000"/>
              </w:rPr>
              <w:t>in</w:t>
            </w:r>
            <w:r w:rsidR="00D917A7" w:rsidRPr="00EF2BEC">
              <w:rPr>
                <w:color w:val="000000"/>
              </w:rPr>
              <w:t xml:space="preserve"> </w:t>
            </w:r>
            <w:r w:rsidRPr="00EF2BEC">
              <w:rPr>
                <w:color w:val="000000"/>
              </w:rPr>
              <w:t>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25189F2A" w:rsidR="00EB4B28" w:rsidRPr="00EF2BEC" w:rsidRDefault="00EB4B28" w:rsidP="00A55B83">
            <w:pPr>
              <w:pStyle w:val="Text1"/>
              <w:numPr>
                <w:ilvl w:val="0"/>
                <w:numId w:val="15"/>
              </w:numPr>
              <w:spacing w:before="40" w:after="40"/>
              <w:rPr>
                <w:color w:val="000000"/>
              </w:rPr>
            </w:pPr>
            <w:r w:rsidRPr="0024350A">
              <w:rPr>
                <w:noProof/>
              </w:rPr>
              <w:lastRenderedPageBreak/>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w:t>
            </w:r>
            <w:r w:rsidR="006F5889">
              <w:rPr>
                <w:color w:val="000000"/>
              </w:rPr>
              <w:t>entity</w:t>
            </w:r>
            <w:r>
              <w:rPr>
                <w:color w:val="000000"/>
              </w:rPr>
              <w:t xml:space="preserve">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7C6B9051"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xml:space="preserve">) (h) above, in the absence of a final judgement or a final administrative decision, the </w:t>
            </w:r>
            <w:r w:rsidR="006F5889">
              <w:rPr>
                <w:noProof/>
              </w:rPr>
              <w:t>entity</w:t>
            </w:r>
            <w:r w:rsidRPr="004C25AF">
              <w:rPr>
                <w:noProof/>
              </w:rPr>
              <w:t xml:space="preserve"> is</w:t>
            </w:r>
            <w:r>
              <w:rPr>
                <w:rStyle w:val="FootnoteReference"/>
                <w:noProof/>
              </w:rPr>
              <w:footnoteReference w:id="2"/>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of an EU institution, of a European office or of an EU agency or body</w:t>
            </w:r>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tasks</w:t>
            </w:r>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information transmitted by Member States implementing Union funds;</w:t>
            </w:r>
          </w:p>
          <w:p w14:paraId="1CFB8A46" w14:textId="5BFC383E"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w:t>
            </w:r>
            <w:r w:rsidR="009A798B">
              <w:rPr>
                <w:color w:val="000000"/>
              </w:rPr>
              <w:t>Stichting PROSAFE</w:t>
            </w:r>
            <w:r w:rsidR="007E50A9" w:rsidRPr="009262CA">
              <w:rPr>
                <w:color w:val="000000"/>
              </w:rPr>
              <w:t xml:space="preserve"> relating to the infringement of Union competition </w:t>
            </w:r>
            <w:r w:rsidR="00DE0C79">
              <w:rPr>
                <w:color w:val="000000"/>
              </w:rPr>
              <w:t>law</w:t>
            </w:r>
            <w:r w:rsidR="00DE0C79" w:rsidRPr="009262CA">
              <w:rPr>
                <w:color w:val="000000"/>
              </w:rPr>
              <w:t xml:space="preserve"> </w:t>
            </w:r>
            <w:r w:rsidR="007E50A9" w:rsidRPr="009262CA">
              <w:rPr>
                <w:color w:val="000000"/>
              </w:rPr>
              <w:t>or of a national competent authority relating to the infringement of Union or national competition law</w:t>
            </w:r>
            <w:r w:rsidR="00F66B6B">
              <w:rPr>
                <w:color w:val="000000"/>
              </w:rPr>
              <w:t>;</w:t>
            </w:r>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6F079B3C" w:rsidR="006D0209" w:rsidRPr="006B4EBC" w:rsidRDefault="006D0209" w:rsidP="006D0209">
      <w:pPr>
        <w:pStyle w:val="Title"/>
        <w:rPr>
          <w:noProof/>
        </w:rPr>
      </w:pPr>
      <w:bookmarkStart w:id="20"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w:t>
      </w:r>
      <w:r w:rsidR="008451D5">
        <w:t>contract</w:t>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11B1DA12" w:rsidR="008E0F00" w:rsidRPr="006B4EBC" w:rsidRDefault="008E0F00" w:rsidP="006F5889">
            <w:pPr>
              <w:numPr>
                <w:ilvl w:val="0"/>
                <w:numId w:val="17"/>
              </w:numPr>
              <w:spacing w:before="240" w:after="120"/>
              <w:jc w:val="both"/>
              <w:rPr>
                <w:noProof/>
              </w:rPr>
            </w:pPr>
            <w:r w:rsidRPr="006B4EBC">
              <w:rPr>
                <w:noProof/>
              </w:rPr>
              <w:t xml:space="preserve">declares that a natural person who is essential for the award or for the implementation of the </w:t>
            </w:r>
            <w:r w:rsidR="008451D5">
              <w:rPr>
                <w:noProof/>
              </w:rPr>
              <w:t>contract</w:t>
            </w:r>
            <w:r w:rsidRPr="006B4EBC">
              <w:rPr>
                <w:noProof/>
              </w:rPr>
              <w:t xml:space="preserve">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decision-making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lastRenderedPageBreak/>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55383E8A"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261F7B">
              <w:rPr>
                <w:noProof/>
              </w:rPr>
              <w:t xml:space="preserve">the </w:t>
            </w:r>
            <w:r w:rsidR="00A8555A" w:rsidRPr="007C431A">
              <w:rPr>
                <w:noProof/>
              </w:rPr>
              <w:t>each</w:t>
            </w:r>
            <w:r w:rsidR="00A8555A" w:rsidRPr="00261F7B">
              <w:rPr>
                <w:noProof/>
              </w:rPr>
              <w:t xml:space="preserve"> </w:t>
            </w:r>
            <w:r w:rsidR="006F5889">
              <w:rPr>
                <w:noProof/>
              </w:rPr>
              <w:t>entity</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7D7A5F" w:rsidRDefault="005C6293" w:rsidP="007D7A5F">
      <w:pPr>
        <w:spacing w:before="120" w:after="120"/>
        <w:jc w:val="both"/>
        <w:rPr>
          <w:noProof/>
        </w:rPr>
      </w:pPr>
      <w:r w:rsidRPr="007D7A5F">
        <w:rPr>
          <w:noProof/>
        </w:rPr>
        <w:lastRenderedPageBreak/>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r w:rsidR="00A83195">
        <w:rPr>
          <w:color w:val="000000"/>
        </w:rPr>
        <w:t>in order to allow the authorising officer to determine whether such measures are</w:t>
      </w:r>
      <w:r w:rsidR="00A83195">
        <w:rPr>
          <w:bCs/>
          <w:iCs/>
          <w:color w:val="000000"/>
        </w:rPr>
        <w:t xml:space="preserve"> sufficient to demonstrate</w:t>
      </w:r>
      <w:r w:rsidRPr="007D7A5F">
        <w:rPr>
          <w:color w:val="000000"/>
        </w:rPr>
        <w:t xml:space="preserve"> </w:t>
      </w:r>
      <w:r w:rsidRPr="007D7A5F">
        <w:rPr>
          <w:bCs/>
          <w:iCs/>
          <w:color w:val="000000"/>
        </w:rPr>
        <w:t xml:space="preserve">its reliability. </w:t>
      </w:r>
      <w:r w:rsidR="00875DED">
        <w:rPr>
          <w:bCs/>
          <w:iCs/>
          <w:color w:val="000000"/>
        </w:rPr>
        <w:t xml:space="preserve">This </w:t>
      </w:r>
      <w:r w:rsidR="002C4522">
        <w:rPr>
          <w:bCs/>
          <w:iCs/>
          <w:color w:val="000000"/>
        </w:rPr>
        <w:t xml:space="preserve">may include </w:t>
      </w:r>
      <w:proofErr w:type="gramStart"/>
      <w:r w:rsidR="002C4522">
        <w:rPr>
          <w:bCs/>
          <w:iCs/>
          <w:color w:val="000000"/>
        </w:rPr>
        <w:t>e.g.</w:t>
      </w:r>
      <w:proofErr w:type="gramEnd"/>
      <w:r w:rsidR="002C4522">
        <w:rPr>
          <w:bCs/>
          <w:iCs/>
          <w:color w:val="000000"/>
        </w:rPr>
        <w:t xml:space="preserve">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w:t>
      </w:r>
      <w:r w:rsidR="003D3BCC">
        <w:rPr>
          <w:color w:val="000000"/>
        </w:rPr>
        <w:t xml:space="preserve"> (5</w:t>
      </w:r>
      <w:r w:rsidR="00A83195">
        <w:rPr>
          <w:color w:val="000000"/>
        </w:rPr>
        <w:t>)</w:t>
      </w:r>
      <w:r w:rsidR="001F19B4">
        <w:rPr>
          <w:color w:val="000000"/>
        </w:rPr>
        <w:t xml:space="preserve">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40FB3E56" w14:textId="1C940575" w:rsidR="008D4EFB" w:rsidRDefault="008F41A1" w:rsidP="008D4EFB">
      <w:pPr>
        <w:spacing w:before="120" w:after="120"/>
        <w:ind w:firstLine="11"/>
        <w:jc w:val="both"/>
        <w:rPr>
          <w:noProof/>
        </w:rPr>
      </w:pPr>
      <w:r>
        <w:rPr>
          <w:noProof/>
        </w:rPr>
        <w:t xml:space="preserve">Stichting PROSAFE </w:t>
      </w:r>
      <w:r w:rsidR="00DF65EC" w:rsidRPr="00AD0164">
        <w:rPr>
          <w:noProof/>
        </w:rPr>
        <w:t>may request</w:t>
      </w:r>
      <w:r w:rsidR="00B84C49" w:rsidRPr="00AD0164">
        <w:rPr>
          <w:noProof/>
        </w:rPr>
        <w:t xml:space="preserve"> </w:t>
      </w:r>
      <w:r w:rsidR="00DF65EC" w:rsidRPr="00AD0164">
        <w:rPr>
          <w:noProof/>
        </w:rPr>
        <w:t xml:space="preserve">any </w:t>
      </w:r>
      <w:r w:rsidR="00833431" w:rsidRPr="00AD0164">
        <w:rPr>
          <w:noProof/>
        </w:rPr>
        <w:t xml:space="preserve">person </w:t>
      </w:r>
      <w:r w:rsidR="00DF65EC" w:rsidRPr="00AD0164">
        <w:rPr>
          <w:noProof/>
        </w:rPr>
        <w:t>subject to this declaration</w:t>
      </w:r>
      <w:r w:rsidR="007A334D" w:rsidRPr="00AD0164">
        <w:rPr>
          <w:noProof/>
        </w:rPr>
        <w:t xml:space="preserve"> </w:t>
      </w:r>
      <w:r w:rsidR="00DF65EC" w:rsidRPr="00AD0164">
        <w:rPr>
          <w:noProof/>
        </w:rPr>
        <w:t xml:space="preserve">to </w:t>
      </w:r>
      <w:r w:rsidR="00B84C49" w:rsidRPr="00AD0164">
        <w:rPr>
          <w:noProof/>
        </w:rPr>
        <w:t xml:space="preserve">provide information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w:t>
      </w:r>
      <w:r w:rsidR="008451D5">
        <w:rPr>
          <w:noProof/>
          <w:u w:val="single"/>
        </w:rPr>
        <w:t xml:space="preserve"> contract</w:t>
      </w:r>
      <w:r w:rsidR="008D4EFB" w:rsidRPr="008D4EFB">
        <w:rPr>
          <w:noProof/>
        </w:rPr>
        <w:t xml:space="preserve"> </w:t>
      </w:r>
      <w:r w:rsidR="008D4EFB" w:rsidRPr="00784F6C">
        <w:rPr>
          <w:noProof/>
        </w:rPr>
        <w:t>and appropriate evidence that none of those persons are in one of the exclusion situations</w:t>
      </w:r>
      <w:r w:rsidR="003D3BCC">
        <w:rPr>
          <w:noProof/>
        </w:rPr>
        <w:t xml:space="preserve"> referred to in (5</w:t>
      </w:r>
      <w:r w:rsidR="008D4EFB">
        <w:rPr>
          <w:noProof/>
        </w:rPr>
        <w:t>) (c) to (f).</w:t>
      </w:r>
    </w:p>
    <w:p w14:paraId="1CFB8A61" w14:textId="3DD8C8FD" w:rsidR="00475DDD" w:rsidRPr="00AD0164" w:rsidRDefault="008F41A1" w:rsidP="00E874AF">
      <w:pPr>
        <w:spacing w:before="120" w:after="120"/>
        <w:ind w:firstLine="11"/>
        <w:jc w:val="both"/>
        <w:rPr>
          <w:noProof/>
        </w:rPr>
      </w:pPr>
      <w:r>
        <w:rPr>
          <w:noProof/>
        </w:rPr>
        <w:t xml:space="preserve">Stichting PROSAFE </w:t>
      </w:r>
      <w:r w:rsidR="00A17388" w:rsidRPr="00AD0164">
        <w:rPr>
          <w:noProof/>
        </w:rPr>
        <w:t xml:space="preserve">may request any </w:t>
      </w:r>
      <w:r w:rsidR="002B7DD8" w:rsidRPr="00AD0164">
        <w:rPr>
          <w:noProof/>
        </w:rPr>
        <w:t xml:space="preserve">person </w:t>
      </w:r>
      <w:r w:rsidR="00A17388" w:rsidRPr="00AD0164">
        <w:rPr>
          <w:noProof/>
        </w:rPr>
        <w:t>subject to this declaration to</w:t>
      </w:r>
      <w:r w:rsidR="00A17388"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w:t>
      </w:r>
      <w:r w:rsidR="00BE7462">
        <w:rPr>
          <w:noProof/>
        </w:rPr>
        <w:t>appropriate</w:t>
      </w:r>
      <w:r w:rsidR="00BE7462" w:rsidRPr="00AD0164">
        <w:rPr>
          <w:noProof/>
        </w:rPr>
        <w:t xml:space="preserv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00A17388" w:rsidRPr="00AD0164">
        <w:rPr>
          <w:noProof/>
          <w:u w:val="single"/>
        </w:rPr>
        <w:t xml:space="preserve"> </w:t>
      </w:r>
      <w:r w:rsidR="00B84C49" w:rsidRPr="00AD0164">
        <w:rPr>
          <w:noProof/>
          <w:u w:val="single"/>
        </w:rPr>
        <w:t>the natural or legal persons which assume unlimited liability for the debt</w:t>
      </w:r>
      <w:r w:rsidR="00A17388"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4A2C3050"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007C431A">
        <w:rPr>
          <w:noProof/>
        </w:rPr>
        <w:t xml:space="preserve">(b), </w:t>
      </w:r>
      <w:r w:rsidRPr="00AD0164">
        <w:rPr>
          <w:noProof/>
        </w:rPr>
        <w:t xml:space="preserve">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59846C07" w14:textId="73703B59" w:rsidR="00352E2A" w:rsidRPr="008F0AC8" w:rsidRDefault="00352E2A" w:rsidP="00352E2A">
      <w:pPr>
        <w:spacing w:before="100" w:beforeAutospacing="1" w:after="100" w:afterAutospacing="1"/>
        <w:jc w:val="both"/>
        <w:rPr>
          <w:b/>
          <w:noProof/>
        </w:rPr>
      </w:pPr>
      <w:r w:rsidRPr="008F0AC8">
        <w:rPr>
          <w:b/>
          <w:noProof/>
        </w:rPr>
        <w:t>The person</w:t>
      </w:r>
      <w:r w:rsidR="007C431A">
        <w:rPr>
          <w:b/>
          <w:noProof/>
        </w:rPr>
        <w:t>/entity</w:t>
      </w:r>
      <w:r w:rsidRPr="008F0AC8">
        <w:rPr>
          <w:b/>
          <w:noProof/>
        </w:rPr>
        <w:t xml:space="preserve"> must immediately </w:t>
      </w:r>
      <w:r w:rsidRPr="00261F7B">
        <w:rPr>
          <w:b/>
          <w:noProof/>
        </w:rPr>
        <w:t xml:space="preserve">inform </w:t>
      </w:r>
      <w:r w:rsidR="009A798B">
        <w:rPr>
          <w:b/>
          <w:noProof/>
        </w:rPr>
        <w:t>Stichting PROSAFE</w:t>
      </w:r>
      <w:r w:rsidR="00261F7B" w:rsidRPr="00261F7B">
        <w:rPr>
          <w:b/>
          <w:noProof/>
        </w:rPr>
        <w:t xml:space="preserve"> </w:t>
      </w:r>
      <w:r w:rsidRPr="00261F7B">
        <w:rPr>
          <w:b/>
          <w:noProof/>
        </w:rPr>
        <w:t>of any changes in the situations as declared.</w:t>
      </w:r>
    </w:p>
    <w:p w14:paraId="1CFB8A67" w14:textId="4A5FB8B4"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7C431A">
        <w:rPr>
          <w:b/>
          <w:noProof/>
        </w:rPr>
        <w:t>/entity</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6529A38C" w14:textId="77777777" w:rsidR="00261F7B" w:rsidRDefault="00261F7B" w:rsidP="005E3354">
      <w:pPr>
        <w:rPr>
          <w:i/>
          <w:iCs/>
        </w:rPr>
      </w:pPr>
    </w:p>
    <w:p w14:paraId="0CB3950F" w14:textId="77777777" w:rsidR="00261F7B" w:rsidRDefault="00261F7B" w:rsidP="005E3354">
      <w:pPr>
        <w:rPr>
          <w:i/>
          <w:iCs/>
        </w:rPr>
      </w:pPr>
    </w:p>
    <w:p w14:paraId="674C099B" w14:textId="77777777" w:rsidR="00261F7B" w:rsidRDefault="00261F7B" w:rsidP="005E3354">
      <w:pPr>
        <w:rPr>
          <w:i/>
          <w:iCs/>
        </w:rPr>
      </w:pPr>
    </w:p>
    <w:p w14:paraId="2DB9645E" w14:textId="5BF87FCF" w:rsidR="005E3354" w:rsidRPr="000808B7" w:rsidRDefault="005E3354" w:rsidP="005E3354">
      <w:pPr>
        <w:rPr>
          <w:i/>
          <w:iCs/>
        </w:rPr>
      </w:pPr>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 xml:space="preserve">In case you have the possibility to sign the declaration using a qualified electronic signature (QES), please have it signed electronically by your authorised representative(s). Please note that only the </w:t>
      </w:r>
      <w:r w:rsidRPr="00897E28">
        <w:rPr>
          <w:i/>
          <w:iCs/>
        </w:rPr>
        <w:lastRenderedPageBreak/>
        <w:t>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in order to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CE82" w14:textId="77777777" w:rsidR="00BC7550" w:rsidRDefault="00BC7550">
      <w:r>
        <w:separator/>
      </w:r>
    </w:p>
  </w:endnote>
  <w:endnote w:type="continuationSeparator" w:id="0">
    <w:p w14:paraId="472E4FEB" w14:textId="77777777" w:rsidR="00BC7550" w:rsidRDefault="00BC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1036CA0D"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2B45DB">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E9A4" w14:textId="77777777" w:rsidR="00BC7550" w:rsidRDefault="00BC7550">
      <w:r>
        <w:separator/>
      </w:r>
    </w:p>
  </w:footnote>
  <w:footnote w:type="continuationSeparator" w:id="0">
    <w:p w14:paraId="5DFD50E2" w14:textId="77777777" w:rsidR="00BC7550" w:rsidRDefault="00BC7550">
      <w:r>
        <w:continuationSeparator/>
      </w:r>
    </w:p>
  </w:footnote>
  <w:footnote w:id="1">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2">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6ECB22DD" w:rsidR="00BB4C9D" w:rsidRPr="00D94500" w:rsidRDefault="00C34F5B" w:rsidP="00BB4C9D">
    <w:pPr>
      <w:pStyle w:val="Header"/>
      <w:ind w:left="1"/>
      <w:jc w:val="right"/>
      <w:rPr>
        <w:sz w:val="22"/>
        <w:lang w:val="fr-BE"/>
      </w:rPr>
    </w:pPr>
    <w:r>
      <w:rPr>
        <w:sz w:val="22"/>
        <w:lang w:val="fr-BE"/>
      </w:rPr>
      <w:t xml:space="preserve">Version </w:t>
    </w:r>
    <w:r w:rsidR="00292634">
      <w:rPr>
        <w:sz w:val="22"/>
        <w:lang w:val="fr-BE"/>
      </w:rPr>
      <w:t>May</w:t>
    </w:r>
    <w:r w:rsidR="004C25AF">
      <w:rPr>
        <w:sz w:val="22"/>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5"/>
  </w:num>
  <w:num w:numId="2">
    <w:abstractNumId w:val="0"/>
  </w:num>
  <w:num w:numId="3">
    <w:abstractNumId w:val="18"/>
  </w:num>
  <w:num w:numId="4">
    <w:abstractNumId w:val="5"/>
  </w:num>
  <w:num w:numId="5">
    <w:abstractNumId w:val="16"/>
  </w:num>
  <w:num w:numId="6">
    <w:abstractNumId w:val="12"/>
  </w:num>
  <w:num w:numId="7">
    <w:abstractNumId w:val="31"/>
  </w:num>
  <w:num w:numId="8">
    <w:abstractNumId w:val="17"/>
  </w:num>
  <w:num w:numId="9">
    <w:abstractNumId w:val="10"/>
  </w:num>
  <w:num w:numId="10">
    <w:abstractNumId w:val="8"/>
  </w:num>
  <w:num w:numId="11">
    <w:abstractNumId w:val="2"/>
  </w:num>
  <w:num w:numId="12">
    <w:abstractNumId w:val="24"/>
  </w:num>
  <w:num w:numId="13">
    <w:abstractNumId w:val="29"/>
  </w:num>
  <w:num w:numId="14">
    <w:abstractNumId w:val="22"/>
  </w:num>
  <w:num w:numId="15">
    <w:abstractNumId w:val="9"/>
  </w:num>
  <w:num w:numId="16">
    <w:abstractNumId w:val="23"/>
  </w:num>
  <w:num w:numId="17">
    <w:abstractNumId w:val="11"/>
  </w:num>
  <w:num w:numId="18">
    <w:abstractNumId w:val="1"/>
  </w:num>
  <w:num w:numId="19">
    <w:abstractNumId w:val="4"/>
  </w:num>
  <w:num w:numId="20">
    <w:abstractNumId w:val="20"/>
  </w:num>
  <w:num w:numId="21">
    <w:abstractNumId w:val="28"/>
  </w:num>
  <w:num w:numId="22">
    <w:abstractNumId w:val="15"/>
  </w:num>
  <w:num w:numId="23">
    <w:abstractNumId w:val="26"/>
  </w:num>
  <w:num w:numId="24">
    <w:abstractNumId w:val="13"/>
  </w:num>
  <w:num w:numId="25">
    <w:abstractNumId w:val="3"/>
  </w:num>
  <w:num w:numId="26">
    <w:abstractNumId w:val="6"/>
  </w:num>
  <w:num w:numId="27">
    <w:abstractNumId w:val="14"/>
  </w:num>
  <w:num w:numId="28">
    <w:abstractNumId w:val="30"/>
  </w:num>
  <w:num w:numId="29">
    <w:abstractNumId w:val="7"/>
  </w:num>
  <w:num w:numId="30">
    <w:abstractNumId w:val="27"/>
  </w:num>
  <w:num w:numId="31">
    <w:abstractNumId w:val="19"/>
  </w:num>
  <w:num w:numId="32">
    <w:abstractNumId w:val="2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49DC"/>
    <w:rsid w:val="000104B8"/>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A09FA"/>
    <w:rsid w:val="001B58DA"/>
    <w:rsid w:val="001C3A2C"/>
    <w:rsid w:val="001C4F29"/>
    <w:rsid w:val="001D02F0"/>
    <w:rsid w:val="001D2C0D"/>
    <w:rsid w:val="001D38AC"/>
    <w:rsid w:val="001D72BD"/>
    <w:rsid w:val="001F19B4"/>
    <w:rsid w:val="002121C3"/>
    <w:rsid w:val="00214D18"/>
    <w:rsid w:val="00220B63"/>
    <w:rsid w:val="00222BEE"/>
    <w:rsid w:val="00230ACC"/>
    <w:rsid w:val="002338DE"/>
    <w:rsid w:val="00254CA6"/>
    <w:rsid w:val="00261F7B"/>
    <w:rsid w:val="00265657"/>
    <w:rsid w:val="00270AB8"/>
    <w:rsid w:val="002836F9"/>
    <w:rsid w:val="00283922"/>
    <w:rsid w:val="00290F38"/>
    <w:rsid w:val="00292634"/>
    <w:rsid w:val="00293915"/>
    <w:rsid w:val="0029628A"/>
    <w:rsid w:val="002A06FE"/>
    <w:rsid w:val="002A2BB8"/>
    <w:rsid w:val="002B45DB"/>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74B8"/>
    <w:rsid w:val="003B478B"/>
    <w:rsid w:val="003B6ACF"/>
    <w:rsid w:val="003C6A7E"/>
    <w:rsid w:val="003D00A1"/>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975CD"/>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2B"/>
    <w:rsid w:val="005909BC"/>
    <w:rsid w:val="00590E7C"/>
    <w:rsid w:val="005A24DC"/>
    <w:rsid w:val="005B251C"/>
    <w:rsid w:val="005C3436"/>
    <w:rsid w:val="005C51BE"/>
    <w:rsid w:val="005C5B77"/>
    <w:rsid w:val="005C5B98"/>
    <w:rsid w:val="005C6293"/>
    <w:rsid w:val="005D0E13"/>
    <w:rsid w:val="005D4444"/>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6F5889"/>
    <w:rsid w:val="00712156"/>
    <w:rsid w:val="00712EBE"/>
    <w:rsid w:val="00730771"/>
    <w:rsid w:val="007311F3"/>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C431A"/>
    <w:rsid w:val="007D018E"/>
    <w:rsid w:val="007D7A5F"/>
    <w:rsid w:val="007E50A9"/>
    <w:rsid w:val="007F39C2"/>
    <w:rsid w:val="0080113B"/>
    <w:rsid w:val="00804210"/>
    <w:rsid w:val="00810432"/>
    <w:rsid w:val="008258DB"/>
    <w:rsid w:val="00833431"/>
    <w:rsid w:val="00837136"/>
    <w:rsid w:val="008410CF"/>
    <w:rsid w:val="0084444D"/>
    <w:rsid w:val="008451D5"/>
    <w:rsid w:val="00846F8F"/>
    <w:rsid w:val="00847486"/>
    <w:rsid w:val="0085094F"/>
    <w:rsid w:val="00855A0B"/>
    <w:rsid w:val="00861439"/>
    <w:rsid w:val="00863E25"/>
    <w:rsid w:val="00874F7A"/>
    <w:rsid w:val="00875DED"/>
    <w:rsid w:val="00876408"/>
    <w:rsid w:val="00876E1A"/>
    <w:rsid w:val="00892BCE"/>
    <w:rsid w:val="008A261F"/>
    <w:rsid w:val="008B1377"/>
    <w:rsid w:val="008B6FD1"/>
    <w:rsid w:val="008C5D23"/>
    <w:rsid w:val="008C6A7E"/>
    <w:rsid w:val="008D0799"/>
    <w:rsid w:val="008D11DF"/>
    <w:rsid w:val="008D2873"/>
    <w:rsid w:val="008D469E"/>
    <w:rsid w:val="008D4EFB"/>
    <w:rsid w:val="008E0F00"/>
    <w:rsid w:val="008F0AC8"/>
    <w:rsid w:val="008F41A1"/>
    <w:rsid w:val="009007C4"/>
    <w:rsid w:val="009103D3"/>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A798B"/>
    <w:rsid w:val="009D19B9"/>
    <w:rsid w:val="009E0F70"/>
    <w:rsid w:val="009E5794"/>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C7550"/>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6" ma:contentTypeDescription="Create a new document." ma:contentTypeScope="" ma:versionID="76daee0ebf228382b01226fb98f7d98c">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a0f8ac06c518a43eb7819212bbaa6084"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076DFB-F4BA-4C8C-B72E-DCB1B16851EC}">
  <ds:schemaRefs>
    <ds:schemaRef ds:uri="http://schemas.openxmlformats.org/officeDocument/2006/bibliography"/>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AF17A3BD-A488-4CEC-92E0-9853BED2D764}"/>
</file>

<file path=customXml/itemProps5.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 ds:uri="http://schemas.microsoft.com/sharepoint/v3"/>
    <ds:schemaRef ds:uri="09c8edfa-0c89-4db5-84aa-c604a671fbf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Ioana Zlotila</cp:lastModifiedBy>
  <cp:revision>7</cp:revision>
  <cp:lastPrinted>2018-07-20T08:10:00Z</cp:lastPrinted>
  <dcterms:created xsi:type="dcterms:W3CDTF">2021-06-30T13:10:00Z</dcterms:created>
  <dcterms:modified xsi:type="dcterms:W3CDTF">2021-12-03T14:43:00Z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0x010100432B1C90E3612142BE815D24A41BBA1A</vt:lpwstr>
  </property>
</Properties>
</file>